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466">
            <w:pPr>
              <w:spacing w:before="120"/>
              <w:jc w:val="center"/>
            </w:pPr>
            <w:bookmarkStart w:id="0" w:name="_GoBack"/>
            <w:bookmarkEnd w:id="0"/>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466">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466">
            <w:pPr>
              <w:spacing w:before="120"/>
              <w:jc w:val="center"/>
            </w:pPr>
            <w:r>
              <w:t>Số: 44</w:t>
            </w:r>
            <w:r>
              <w:rPr>
                <w:shd w:val="solid" w:color="FFFFFF" w:fill="auto"/>
              </w:rPr>
              <w:t>/</w:t>
            </w:r>
            <w:r>
              <w:t>2016</w:t>
            </w:r>
            <w:r>
              <w:rPr>
                <w:shd w:val="solid" w:color="FFFFFF" w:fill="auto"/>
              </w:rPr>
              <w:t>/TT</w:t>
            </w:r>
            <w:r>
              <w:t>-BYT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466">
            <w:pPr>
              <w:spacing w:before="120"/>
              <w:jc w:val="right"/>
            </w:pPr>
            <w:r>
              <w:rPr>
                <w:i/>
                <w:iCs/>
              </w:rPr>
              <w:t>Hà Nội, ngày 15 tháng 12 năm 2016</w:t>
            </w:r>
          </w:p>
        </w:tc>
      </w:tr>
    </w:tbl>
    <w:p w:rsidR="00000000" w:rsidRDefault="009F6466">
      <w:pPr>
        <w:spacing w:before="120" w:after="280" w:afterAutospacing="1"/>
      </w:pPr>
      <w:r>
        <w:t> </w:t>
      </w:r>
    </w:p>
    <w:p w:rsidR="00000000" w:rsidRDefault="009F6466">
      <w:pPr>
        <w:spacing w:before="120" w:after="280" w:afterAutospacing="1"/>
        <w:jc w:val="center"/>
      </w:pPr>
      <w:r>
        <w:rPr>
          <w:b/>
          <w:bCs/>
        </w:rPr>
        <w:t>THÔNG TƯ</w:t>
      </w:r>
    </w:p>
    <w:p w:rsidR="00000000" w:rsidRDefault="009F6466">
      <w:pPr>
        <w:spacing w:before="120" w:after="280" w:afterAutospacing="1"/>
        <w:jc w:val="center"/>
      </w:pPr>
      <w:r>
        <w:t>SỬA ĐỔI, BỔ SUNG KHOẢN 1 ĐIỀU 9 CỦA THÔNG TƯ LIÊN TỊCH SỐ 56</w:t>
      </w:r>
      <w:r>
        <w:rPr>
          <w:shd w:val="solid" w:color="FFFFFF" w:fill="auto"/>
        </w:rPr>
        <w:t>/</w:t>
      </w:r>
      <w:r>
        <w:t>2015</w:t>
      </w:r>
      <w:r>
        <w:rPr>
          <w:shd w:val="solid" w:color="FFFFFF" w:fill="auto"/>
        </w:rPr>
        <w:t>/</w:t>
      </w:r>
      <w:r>
        <w:t>TTLT-BYT-BNV NGÀY 29</w:t>
      </w:r>
      <w:r>
        <w:rPr>
          <w:shd w:val="solid" w:color="FFFFFF" w:fill="auto"/>
        </w:rPr>
        <w:t>/12/</w:t>
      </w:r>
      <w:r>
        <w:t>20</w:t>
      </w:r>
      <w:r>
        <w:t>15 CỦA BỘ TRƯỞNG BỘ Y TẾ - BỘ TRƯỞNG BỘ NỘI VỤ QUY ĐỊNH VỀ TIÊU CHUẨN, ĐIỀU KIỆN, NỘI DUNG, HÌNH THỨC THI THĂNG HẠNG CHỨC DANH NGHỀ NGHIỆP VIÊN CHỨC CHUYÊN NGÀNH Y TẾ</w:t>
      </w:r>
    </w:p>
    <w:p w:rsidR="00000000" w:rsidRDefault="009F6466">
      <w:pPr>
        <w:spacing w:before="120" w:after="280" w:afterAutospacing="1"/>
      </w:pPr>
      <w:r>
        <w:rPr>
          <w:i/>
          <w:iCs/>
        </w:rPr>
        <w:t>Căn cứ Luật Viên chức ngày 15 tháng 11 năm 2010;</w:t>
      </w:r>
    </w:p>
    <w:p w:rsidR="00000000" w:rsidRDefault="009F6466">
      <w:pPr>
        <w:shd w:val="solid" w:color="FFFFFF" w:fill="auto"/>
        <w:spacing w:before="120" w:after="280" w:afterAutospacing="1"/>
      </w:pPr>
      <w:r>
        <w:rPr>
          <w:i/>
          <w:iCs/>
        </w:rPr>
        <w:t>Căn cứ Nghị định số 29</w:t>
      </w:r>
      <w:r>
        <w:rPr>
          <w:i/>
          <w:iCs/>
          <w:shd w:val="solid" w:color="FFFFFF" w:fill="auto"/>
        </w:rPr>
        <w:t>/2012/</w:t>
      </w:r>
      <w:r>
        <w:rPr>
          <w:i/>
          <w:iCs/>
        </w:rPr>
        <w:t>NĐ-CP ngày 1</w:t>
      </w:r>
      <w:r>
        <w:rPr>
          <w:i/>
          <w:iCs/>
        </w:rPr>
        <w:t>2 tháng 4 năm 2012 của Chính phủ quy định về tuyển dụng, sử dụng và quản lý viên chức;</w:t>
      </w:r>
    </w:p>
    <w:p w:rsidR="00000000" w:rsidRDefault="009F6466">
      <w:pPr>
        <w:shd w:val="solid" w:color="FFFFFF" w:fill="auto"/>
        <w:spacing w:before="120" w:after="280" w:afterAutospacing="1"/>
      </w:pPr>
      <w:r>
        <w:rPr>
          <w:i/>
          <w:iCs/>
        </w:rPr>
        <w:t xml:space="preserve">Căn cứ Nghị định số </w:t>
      </w:r>
      <w:r>
        <w:rPr>
          <w:i/>
          <w:iCs/>
          <w:shd w:val="solid" w:color="FFFFFF" w:fill="auto"/>
        </w:rPr>
        <w:t>63/2012/</w:t>
      </w:r>
      <w:r>
        <w:rPr>
          <w:i/>
          <w:iCs/>
        </w:rPr>
        <w:t>NĐ-CP ngày 31 tháng 8 năm 2012 của Chính phủ quy định chức năng, nhiệm vụ, quyền hạn và cơ cấu tổ chức của Bộ Y tế;</w:t>
      </w:r>
    </w:p>
    <w:p w:rsidR="00000000" w:rsidRDefault="009F6466">
      <w:pPr>
        <w:spacing w:before="120" w:after="280" w:afterAutospacing="1"/>
      </w:pPr>
      <w:r>
        <w:rPr>
          <w:i/>
          <w:iCs/>
        </w:rPr>
        <w:t xml:space="preserve">Trên cơ sở ý kiến của Bộ </w:t>
      </w:r>
      <w:r>
        <w:rPr>
          <w:i/>
          <w:iCs/>
        </w:rPr>
        <w:t xml:space="preserve">Nội vụ tại Công văn số </w:t>
      </w:r>
      <w:r>
        <w:rPr>
          <w:i/>
          <w:iCs/>
          <w:shd w:val="solid" w:color="FFFFFF" w:fill="auto"/>
        </w:rPr>
        <w:t>5316/</w:t>
      </w:r>
      <w:r>
        <w:rPr>
          <w:i/>
          <w:iCs/>
        </w:rPr>
        <w:t>BNV-CCVC ngày 11 tháng 11 năm 2016 về việc ban hành Thông tư của Bộ trưởng Bộ Y tế sửa đổi, bổ sung Thông tư liên tịch số 56</w:t>
      </w:r>
      <w:r>
        <w:rPr>
          <w:i/>
          <w:iCs/>
          <w:shd w:val="solid" w:color="FFFFFF" w:fill="auto"/>
        </w:rPr>
        <w:t>/2016/</w:t>
      </w:r>
      <w:r>
        <w:rPr>
          <w:i/>
          <w:iCs/>
        </w:rPr>
        <w:t>TTLT-BYT-BNV;</w:t>
      </w:r>
    </w:p>
    <w:p w:rsidR="00000000" w:rsidRDefault="009F6466">
      <w:pPr>
        <w:spacing w:before="120" w:after="280" w:afterAutospacing="1"/>
      </w:pPr>
      <w:r>
        <w:rPr>
          <w:i/>
          <w:iCs/>
        </w:rPr>
        <w:t>Theo đề nghị của Vụ trưởng Vụ Tổ chức cán bộ,</w:t>
      </w:r>
    </w:p>
    <w:p w:rsidR="00000000" w:rsidRDefault="009F6466">
      <w:pPr>
        <w:shd w:val="solid" w:color="FFFFFF" w:fill="auto"/>
        <w:spacing w:before="120" w:after="280" w:afterAutospacing="1"/>
      </w:pPr>
      <w:r>
        <w:rPr>
          <w:i/>
          <w:iCs/>
          <w:shd w:val="solid" w:color="FFFFFF" w:fill="auto"/>
        </w:rPr>
        <w:t>Bộ trưởng Bộ Y tế ban hành Thông tư sử</w:t>
      </w:r>
      <w:r>
        <w:rPr>
          <w:i/>
          <w:iCs/>
          <w:shd w:val="solid" w:color="FFFFFF" w:fill="auto"/>
        </w:rPr>
        <w:t>a đổi, bổ sung Khoản 1 Điều 9 của Thông tư liên tịch số 56/2015/TTLT-BYT-BNV</w:t>
      </w:r>
      <w:r>
        <w:rPr>
          <w:i/>
          <w:iCs/>
        </w:rPr>
        <w:t xml:space="preserve"> ngày </w:t>
      </w:r>
      <w:r>
        <w:rPr>
          <w:i/>
          <w:iCs/>
          <w:shd w:val="solid" w:color="FFFFFF" w:fill="auto"/>
        </w:rPr>
        <w:t>29/12/2015</w:t>
      </w:r>
      <w:r>
        <w:rPr>
          <w:i/>
          <w:iCs/>
        </w:rPr>
        <w:t xml:space="preserve"> của Bộ trưởng Bộ Y tế - Bộ trưởng Bộ Nội vụ quy định về tiêu chuẩn</w:t>
      </w:r>
      <w:r>
        <w:rPr>
          <w:i/>
          <w:iCs/>
          <w:shd w:val="solid" w:color="FFFFFF" w:fill="auto"/>
        </w:rPr>
        <w:t>, điều</w:t>
      </w:r>
      <w:r>
        <w:rPr>
          <w:i/>
          <w:iCs/>
        </w:rPr>
        <w:t xml:space="preserve"> kiện, nội dung, hình thức thi thăng hạng chức danh nghề nghiệp viên chức chuyên ngành y tế</w:t>
      </w:r>
      <w:r>
        <w:rPr>
          <w:i/>
          <w:iCs/>
        </w:rPr>
        <w:t>.</w:t>
      </w:r>
    </w:p>
    <w:p w:rsidR="00000000" w:rsidRDefault="009F6466">
      <w:pPr>
        <w:shd w:val="solid" w:color="FFFFFF" w:fill="auto"/>
        <w:spacing w:before="120" w:after="280" w:afterAutospacing="1"/>
      </w:pPr>
      <w:r>
        <w:rPr>
          <w:b/>
          <w:bCs/>
          <w:shd w:val="solid" w:color="FFFFFF" w:fill="auto"/>
        </w:rPr>
        <w:t xml:space="preserve">Điều 1. Sửa đổi, bổ sung </w:t>
      </w:r>
      <w:bookmarkStart w:id="1" w:name="dc_1"/>
      <w:r>
        <w:rPr>
          <w:b/>
          <w:bCs/>
          <w:shd w:val="solid" w:color="FFFFFF" w:fill="auto"/>
        </w:rPr>
        <w:t>Khoản 1 Điều 9 của Thông tư liên tịch số 56/2015/TTLT-BYT-BNV</w:t>
      </w:r>
      <w:bookmarkEnd w:id="1"/>
      <w:r>
        <w:rPr>
          <w:b/>
          <w:bCs/>
          <w:shd w:val="solid" w:color="FFFFFF" w:fill="auto"/>
        </w:rPr>
        <w:t xml:space="preserve"> ngày 29/12/2015 của Bộ trưởng Bộ Y tế - Bộ trưởng Bộ Nội vụ quy định về tiêu chuẩn, điều</w:t>
      </w:r>
      <w:r>
        <w:rPr>
          <w:b/>
          <w:bCs/>
        </w:rPr>
        <w:t xml:space="preserve"> kiện, nội dung, hình thức thi thăng hạng chức danh nghề nghiệp viên chức chuyê</w:t>
      </w:r>
      <w:r>
        <w:rPr>
          <w:b/>
          <w:bCs/>
        </w:rPr>
        <w:t>n ngành y tế</w:t>
      </w:r>
    </w:p>
    <w:p w:rsidR="00000000" w:rsidRDefault="009F6466">
      <w:pPr>
        <w:shd w:val="solid" w:color="FFFFFF" w:fill="auto"/>
        <w:spacing w:before="120" w:after="280" w:afterAutospacing="1"/>
      </w:pPr>
      <w:r>
        <w:t>“1. Bộ trưởng, Thủ trưởng cơ quan ngang Bộ, Thủ trưởng cơ quan thuộc Chính phủ; Chủ tịch Ủy ban nhân dân tỉnh, thành phố trực thuộc Trung ương và Người đứng đầu đơn vị sự nghiệp y tế căn cứ vào tiêu chuẩn</w:t>
      </w:r>
      <w:r>
        <w:rPr>
          <w:shd w:val="solid" w:color="FFFFFF" w:fill="auto"/>
        </w:rPr>
        <w:t>, điều</w:t>
      </w:r>
      <w:r>
        <w:t xml:space="preserve"> kiện quy định tại Thông tư liên </w:t>
      </w:r>
      <w:r>
        <w:t>tịch này theo thẩm quyền được giao cử viên chức tham dự kỳ thi thăng hạng chức danh nghề nghiệp và chịu trách nhiệm về tiêu chuẩn</w:t>
      </w:r>
      <w:r>
        <w:rPr>
          <w:shd w:val="solid" w:color="FFFFFF" w:fill="auto"/>
        </w:rPr>
        <w:t>, điều kiện</w:t>
      </w:r>
      <w:r>
        <w:t xml:space="preserve"> của viên chức tham dự kỳ thi thăng hạng chức danh nghề nghiệp.</w:t>
      </w:r>
    </w:p>
    <w:p w:rsidR="00000000" w:rsidRDefault="009F6466">
      <w:pPr>
        <w:spacing w:before="120" w:after="280" w:afterAutospacing="1"/>
      </w:pPr>
      <w:r>
        <w:t>Viên chức tham dự kỳ thi thăng hạng chức danh nghề n</w:t>
      </w:r>
      <w:r>
        <w:t xml:space="preserve">ghiệp từ bác sĩ y học dự phòng (hạng III) lên chức danh bác sĩ y học dự phòng chính (hạng II), từ chức danh bác sĩ y học dự phòng chính </w:t>
      </w:r>
      <w:r>
        <w:lastRenderedPageBreak/>
        <w:t>(hạng II) lên chức danh bác sĩ y học dự phòng cao cấp (hạng I) năm 2017 phải có thời gian 02 năm gần nhất làm việc trong</w:t>
      </w:r>
      <w:r>
        <w:t xml:space="preserve"> lĩnh vực y tế dự phòng thay cho 02 năm gần nhất giữ chức danh bác sĩ y học dự phòng (hạng III), bác sĩ y học dự phòng chính (hạng II).</w:t>
      </w:r>
    </w:p>
    <w:p w:rsidR="00000000" w:rsidRDefault="009F6466">
      <w:pPr>
        <w:spacing w:before="120" w:after="280" w:afterAutospacing="1"/>
      </w:pPr>
      <w:r>
        <w:t>Viên chức tham dự kỳ thi thăng hạng chức danh nghề nghiệp viên chức chuyên ngành y tế năm 2017 chưa phải có chứng chỉ bồ</w:t>
      </w:r>
      <w:r>
        <w:t>i dưỡng theo tiêu chuẩn chức danh nghề nghiệp dự thi nhưng trong thời hạn 12 tháng kể từ ngày Bộ Y tế ban hành chương trình đào tạo, bồi dưỡng theo tiêu chuẩn chức danh nghề nghiệp thì cơ quan, đơn vị có thẩm quyền quản lý, sử dụng viên chức phải cử viên c</w:t>
      </w:r>
      <w:r>
        <w:t>hức đã tham dự kỳ thi thăng hạng chức danh nghề nghiệp viên chức chuyên ngành y tế năm 2017 tham dự khóa đào tạo, bồi dưỡng để bảo đảm đủ tiêu chuẩn chức danh nghề nghiệp dự thi.”</w:t>
      </w:r>
    </w:p>
    <w:p w:rsidR="00000000" w:rsidRDefault="009F6466">
      <w:pPr>
        <w:spacing w:before="120" w:after="280" w:afterAutospacing="1"/>
      </w:pPr>
      <w:r>
        <w:rPr>
          <w:b/>
          <w:bCs/>
          <w:shd w:val="solid" w:color="FFFFFF" w:fill="auto"/>
        </w:rPr>
        <w:t>Điều</w:t>
      </w:r>
      <w:r>
        <w:rPr>
          <w:b/>
          <w:bCs/>
        </w:rPr>
        <w:t xml:space="preserve"> 2. Hiệu lực thi hành</w:t>
      </w:r>
    </w:p>
    <w:p w:rsidR="00000000" w:rsidRDefault="009F6466">
      <w:pPr>
        <w:spacing w:before="120" w:after="280" w:afterAutospacing="1"/>
      </w:pPr>
      <w:r>
        <w:t>Thông tư này có hiệu lực từ ngày 01 tháng 02 năm 2</w:t>
      </w:r>
      <w:r>
        <w:t>017.</w:t>
      </w:r>
    </w:p>
    <w:p w:rsidR="00000000" w:rsidRDefault="009F6466">
      <w:pPr>
        <w:shd w:val="solid" w:color="FFFFFF" w:fill="auto"/>
        <w:spacing w:before="120" w:after="280" w:afterAutospacing="1"/>
      </w:pPr>
      <w:r>
        <w:rPr>
          <w:b/>
          <w:bCs/>
          <w:shd w:val="solid" w:color="FFFFFF" w:fill="auto"/>
        </w:rPr>
        <w:t xml:space="preserve">Điều </w:t>
      </w:r>
      <w:r>
        <w:rPr>
          <w:b/>
          <w:bCs/>
        </w:rPr>
        <w:t>3. Trách nhiệm thi hành</w:t>
      </w:r>
    </w:p>
    <w:p w:rsidR="00000000" w:rsidRDefault="009F6466">
      <w:pPr>
        <w:spacing w:before="120" w:after="280" w:afterAutospacing="1"/>
      </w:pPr>
      <w:r>
        <w:t>Bộ trưởng, Thủ trưởng cơ quan ngang Bộ, Thủ trưởng cơ quan thuộc Chính phủ; Chủ tịch Ủy ban nhân dân tỉnh, thành phố trực thuộc Trung ương và cá nhân, tổ chức có liên quan chịu trách nhiệm thực hiện Thông tư này.</w:t>
      </w:r>
    </w:p>
    <w:p w:rsidR="00000000" w:rsidRDefault="009F646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466">
            <w:pPr>
              <w:spacing w:before="120" w:after="280" w:afterAutospacing="1"/>
            </w:pPr>
            <w:r>
              <w:rPr>
                <w:b/>
                <w:bCs/>
                <w:i/>
                <w:iCs/>
              </w:rPr>
              <w:t> </w:t>
            </w:r>
          </w:p>
          <w:p w:rsidR="00000000" w:rsidRDefault="009F6466">
            <w:pPr>
              <w:spacing w:before="120"/>
            </w:pPr>
            <w:r>
              <w:rPr>
                <w:b/>
                <w:bCs/>
                <w:i/>
                <w:iCs/>
              </w:rPr>
              <w:t>Nơi n</w:t>
            </w:r>
            <w:r>
              <w:rPr>
                <w:b/>
                <w:bCs/>
                <w:i/>
                <w:iCs/>
              </w:rPr>
              <w:t>hận:</w:t>
            </w:r>
            <w:r>
              <w:rPr>
                <w:b/>
                <w:bCs/>
                <w:i/>
                <w:iCs/>
              </w:rPr>
              <w:br/>
            </w:r>
            <w:r>
              <w:rPr>
                <w:sz w:val="16"/>
              </w:rPr>
              <w:t>- Văn phòng Chính phủ (Công báo, Cổng TTĐT CP);</w:t>
            </w:r>
            <w:r>
              <w:rPr>
                <w:sz w:val="16"/>
              </w:rPr>
              <w:br/>
              <w:t>- Các Bộ, cơ quan ngang Bộ, cơ thuộc Chính phủ;</w:t>
            </w:r>
            <w:r>
              <w:rPr>
                <w:sz w:val="16"/>
              </w:rPr>
              <w:br/>
              <w:t>- Bộ Tư pháp (Cục kiểm tra văn bản QPPL);</w:t>
            </w:r>
            <w:r>
              <w:rPr>
                <w:sz w:val="16"/>
              </w:rPr>
              <w:br/>
              <w:t>- UBND các tỉnh, thành phố trực thuộc TW;</w:t>
            </w:r>
            <w:r>
              <w:rPr>
                <w:sz w:val="16"/>
              </w:rPr>
              <w:br/>
              <w:t>- Bộ trưởng, các Thứ trưởng Bộ Y tế;</w:t>
            </w:r>
            <w:r>
              <w:rPr>
                <w:sz w:val="16"/>
              </w:rPr>
              <w:br/>
              <w:t xml:space="preserve">- Sở Y tế, Sở Nội vụ các tỉnh, TP </w:t>
            </w:r>
            <w:r>
              <w:rPr>
                <w:sz w:val="16"/>
              </w:rPr>
              <w:t>trực thuộc TW;</w:t>
            </w:r>
            <w:r>
              <w:rPr>
                <w:sz w:val="16"/>
              </w:rPr>
              <w:br/>
              <w:t>- Các Vụ, Cục, Tổng cục, Thanh tra Bộ Y tế;</w:t>
            </w:r>
            <w:r>
              <w:rPr>
                <w:sz w:val="16"/>
              </w:rPr>
              <w:br/>
              <w:t>- Các đơn vị sự nghiệp trực thuộc Bộ;</w:t>
            </w:r>
            <w:r>
              <w:rPr>
                <w:sz w:val="16"/>
              </w:rPr>
              <w:br/>
              <w:t>- Cổng thông tin điện tử Bộ Y tế;</w:t>
            </w:r>
            <w:r>
              <w:rPr>
                <w:sz w:val="16"/>
              </w:rPr>
              <w:br/>
              <w:t>- Lưu: VT, TCCB, PC.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46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Viết Tiến</w:t>
            </w:r>
          </w:p>
        </w:tc>
      </w:tr>
    </w:tbl>
    <w:p w:rsidR="00000000" w:rsidRDefault="009F6466">
      <w:pPr>
        <w:spacing w:after="280" w:afterAutospacing="1"/>
      </w:pPr>
      <w:r>
        <w:t> </w:t>
      </w:r>
    </w:p>
    <w:p w:rsidR="009F6466" w:rsidRDefault="009F6466">
      <w:pPr>
        <w:spacing w:after="280" w:afterAutospacing="1"/>
      </w:pPr>
    </w:p>
    <w:sectPr w:rsidR="009F64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7"/>
    <w:rsid w:val="00362A57"/>
    <w:rsid w:val="009F646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cp:revision>
  <cp:lastPrinted>1601-01-01T00:00:00Z</cp:lastPrinted>
  <dcterms:created xsi:type="dcterms:W3CDTF">2016-12-26T06:51:00Z</dcterms:created>
  <dcterms:modified xsi:type="dcterms:W3CDTF">2016-12-26T06:51:00Z</dcterms:modified>
</cp:coreProperties>
</file>