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C8" w:rsidRPr="009A63C8" w:rsidRDefault="009A63C8" w:rsidP="009A63C8">
      <w:pPr>
        <w:spacing w:after="240" w:line="240" w:lineRule="auto"/>
        <w:jc w:val="both"/>
        <w:outlineLvl w:val="0"/>
        <w:rPr>
          <w:rFonts w:eastAsia="Times New Roman" w:cs="Times New Roman"/>
          <w:b/>
          <w:bCs/>
          <w:kern w:val="36"/>
          <w:sz w:val="42"/>
          <w:szCs w:val="42"/>
        </w:rPr>
      </w:pPr>
      <w:r w:rsidRPr="009A63C8">
        <w:rPr>
          <w:rFonts w:eastAsia="Times New Roman" w:cs="Times New Roman"/>
          <w:b/>
          <w:bCs/>
          <w:kern w:val="36"/>
          <w:sz w:val="42"/>
          <w:szCs w:val="42"/>
        </w:rPr>
        <w:t>Chính sách mới về bảo hiểm y tế có hiệu lực từ tháng 7/2023</w:t>
      </w:r>
    </w:p>
    <w:p w:rsidR="009A63C8" w:rsidRPr="009A63C8" w:rsidRDefault="009A63C8" w:rsidP="00C238A1">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b/>
          <w:bCs/>
          <w:color w:val="222222"/>
        </w:rPr>
        <w:t>Tháng 7/2023 không chỉ đánh dấu sự thay đổi về lương, lương hưu, trợ cấp bảo hiểm mà còn mang đến những sự điều chỉnh về bảo hiểm y tế. Sau đây là tổng hợp các chính sách mới về bảo hiểm y tế có hiệu lực từ 01/7/2023.</w:t>
      </w:r>
      <w:r w:rsidRPr="009A63C8">
        <w:rPr>
          <w:rFonts w:eastAsia="Times New Roman" w:cs="Times New Roman"/>
          <w:b/>
          <w:bCs/>
          <w:color w:val="2E2E2E"/>
          <w:sz w:val="33"/>
          <w:szCs w:val="33"/>
        </w:rPr>
        <w:br/>
      </w:r>
      <w:r w:rsidRPr="009A63C8">
        <w:rPr>
          <w:rFonts w:eastAsia="Times New Roman" w:cs="Times New Roman"/>
          <w:b/>
          <w:bCs/>
          <w:color w:val="2E2E2E"/>
          <w:sz w:val="33"/>
        </w:rPr>
        <w:t>1. Tăng mức đóng bảo hiểm y tế của nhiều người</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Hiện nay, mức đóng bảo hiểm y tế của nhiều người được xác định dựa trên mức lương cơ sở. Từ ngày 01/7/2023, do thực hiện chính sách tăng lương cơ sở từ 1,49 triệu đồng/tháng lên thành 1,8 triệu đồng/tháng nên mức đóng bảo hiểm y tế của một số nhóm đối tượng sẽ được điều chỉnh tăng.</w:t>
      </w:r>
    </w:p>
    <w:p w:rsidR="009A63C8" w:rsidRPr="009A63C8" w:rsidRDefault="009A63C8" w:rsidP="009A63C8">
      <w:pPr>
        <w:shd w:val="clear" w:color="auto" w:fill="FFFFFF"/>
        <w:spacing w:before="180" w:after="180" w:line="240" w:lineRule="auto"/>
        <w:outlineLvl w:val="2"/>
        <w:rPr>
          <w:rFonts w:eastAsia="Times New Roman" w:cs="Times New Roman"/>
          <w:b/>
          <w:bCs/>
          <w:color w:val="2E2E2E"/>
          <w:sz w:val="30"/>
          <w:szCs w:val="30"/>
        </w:rPr>
      </w:pPr>
      <w:r w:rsidRPr="009A63C8">
        <w:rPr>
          <w:rFonts w:eastAsia="Times New Roman" w:cs="Times New Roman"/>
          <w:b/>
          <w:bCs/>
          <w:color w:val="2E2E2E"/>
          <w:sz w:val="30"/>
        </w:rPr>
        <w:t>1.1. Đối với người đi làm</w:t>
      </w:r>
    </w:p>
    <w:p w:rsidR="009A63C8" w:rsidRPr="009A63C8" w:rsidRDefault="009A63C8" w:rsidP="009A63C8">
      <w:pPr>
        <w:shd w:val="clear" w:color="auto" w:fill="FFFFFF"/>
        <w:spacing w:before="180" w:line="240" w:lineRule="auto"/>
        <w:jc w:val="both"/>
        <w:rPr>
          <w:rFonts w:eastAsia="Times New Roman" w:cs="Times New Roman"/>
          <w:color w:val="222222"/>
          <w:szCs w:val="26"/>
        </w:rPr>
      </w:pPr>
      <w:r w:rsidRPr="009A63C8">
        <w:rPr>
          <w:rFonts w:eastAsia="Times New Roman" w:cs="Times New Roman"/>
          <w:color w:val="222222"/>
          <w:szCs w:val="26"/>
        </w:rPr>
        <w:t>Theo </w:t>
      </w:r>
      <w:hyperlink r:id="rId5" w:history="1">
        <w:r w:rsidRPr="00C238A1">
          <w:rPr>
            <w:rFonts w:eastAsia="Times New Roman" w:cs="Times New Roman"/>
            <w:color w:val="FF0000"/>
            <w:u w:val="single"/>
          </w:rPr>
          <w:t>khoản 1 Điều 7 Nghị định 146/2018/NĐ-CP</w:t>
        </w:r>
      </w:hyperlink>
      <w:r w:rsidRPr="009A63C8">
        <w:rPr>
          <w:rFonts w:eastAsia="Times New Roman" w:cs="Times New Roman"/>
          <w:color w:val="222222"/>
          <w:szCs w:val="26"/>
        </w:rPr>
        <w:t> và khoản 1 Điều 18 Quyết định 595/QĐ-BHXH, mỗi tháng, người lao động làm việc theo hợp đồng lao động, cán bộ, công chức, viên chức,… phải đóng bảo hiểm y tế (BHYT) theo mức sau:</w:t>
      </w:r>
    </w:p>
    <w:tbl>
      <w:tblPr>
        <w:tblW w:w="9420" w:type="dxa"/>
        <w:tblCellMar>
          <w:left w:w="0" w:type="dxa"/>
          <w:right w:w="0" w:type="dxa"/>
        </w:tblCellMar>
        <w:tblLook w:val="04A0"/>
      </w:tblPr>
      <w:tblGrid>
        <w:gridCol w:w="2680"/>
        <w:gridCol w:w="378"/>
        <w:gridCol w:w="914"/>
        <w:gridCol w:w="569"/>
        <w:gridCol w:w="4879"/>
      </w:tblGrid>
      <w:tr w:rsidR="009A63C8" w:rsidRPr="009A63C8" w:rsidTr="009A63C8">
        <w:trPr>
          <w:trHeight w:val="810"/>
        </w:trPr>
        <w:tc>
          <w:tcPr>
            <w:tcW w:w="2685"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Mức đóng BHYT</w:t>
            </w:r>
          </w:p>
        </w:tc>
        <w:tc>
          <w:tcPr>
            <w:tcW w:w="360"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w:t>
            </w:r>
          </w:p>
        </w:tc>
        <w:tc>
          <w:tcPr>
            <w:tcW w:w="915"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1,5%</w:t>
            </w:r>
          </w:p>
        </w:tc>
        <w:tc>
          <w:tcPr>
            <w:tcW w:w="570"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x</w:t>
            </w:r>
          </w:p>
        </w:tc>
        <w:tc>
          <w:tcPr>
            <w:tcW w:w="4890"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Tiền lương tháng đóng bảo hiểm xã hội bắt buộc</w:t>
            </w:r>
          </w:p>
        </w:tc>
      </w:tr>
    </w:tbl>
    <w:p w:rsidR="00E86E45" w:rsidRPr="00E86E45" w:rsidRDefault="009A63C8" w:rsidP="009A63C8">
      <w:pPr>
        <w:shd w:val="clear" w:color="auto" w:fill="FFFFFF"/>
        <w:spacing w:before="180" w:after="180" w:line="240" w:lineRule="auto"/>
        <w:jc w:val="both"/>
        <w:rPr>
          <w:rFonts w:eastAsia="Times New Roman" w:cs="Times New Roman"/>
          <w:i/>
          <w:iCs/>
          <w:color w:val="222222"/>
        </w:rPr>
      </w:pPr>
      <w:r w:rsidRPr="009A63C8">
        <w:rPr>
          <w:rFonts w:eastAsia="Times New Roman" w:cs="Times New Roman"/>
          <w:color w:val="222222"/>
          <w:szCs w:val="26"/>
        </w:rPr>
        <w:t>Trong đó: Mức tiền lương tháng tối đa để tính số tiền đóng BHYT = 20 x Mức lương cơ sở </w:t>
      </w:r>
      <w:r w:rsidRPr="009A63C8">
        <w:rPr>
          <w:rFonts w:eastAsia="Times New Roman" w:cs="Times New Roman"/>
          <w:i/>
          <w:iCs/>
          <w:color w:val="222222"/>
        </w:rPr>
        <w:t>(Khoản 5 Điều 14 Luật BHYT năm 2008, sửa năm 2014).</w:t>
      </w:r>
    </w:p>
    <w:p w:rsidR="009A63C8" w:rsidRPr="009A63C8" w:rsidRDefault="009A63C8" w:rsidP="009A63C8">
      <w:pPr>
        <w:shd w:val="clear" w:color="auto" w:fill="FFFFFF"/>
        <w:spacing w:before="180" w:line="240" w:lineRule="auto"/>
        <w:rPr>
          <w:rFonts w:eastAsia="Times New Roman" w:cs="Times New Roman"/>
          <w:color w:val="222222"/>
          <w:szCs w:val="26"/>
        </w:rPr>
      </w:pPr>
      <w:r w:rsidRPr="009A63C8">
        <w:rPr>
          <w:rFonts w:eastAsia="Times New Roman" w:cs="Times New Roman"/>
          <w:color w:val="222222"/>
          <w:szCs w:val="26"/>
        </w:rPr>
        <w:t>Từ ngày 01/7/2023, mức đóng bảo hiểm y tế tối thay đổi như sau:</w:t>
      </w:r>
    </w:p>
    <w:tbl>
      <w:tblPr>
        <w:tblW w:w="8809" w:type="dxa"/>
        <w:tblCellMar>
          <w:left w:w="0" w:type="dxa"/>
          <w:right w:w="0" w:type="dxa"/>
        </w:tblCellMar>
        <w:tblLook w:val="04A0"/>
      </w:tblPr>
      <w:tblGrid>
        <w:gridCol w:w="4405"/>
        <w:gridCol w:w="4404"/>
      </w:tblGrid>
      <w:tr w:rsidR="009A63C8" w:rsidRPr="009A63C8" w:rsidTr="009A63C8">
        <w:trPr>
          <w:trHeight w:val="435"/>
        </w:trPr>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Mức đóng BHYT tối đa trước đó</w:t>
            </w:r>
          </w:p>
        </w:tc>
        <w:tc>
          <w:tcPr>
            <w:tcW w:w="4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Mức đóng BHYT tối đa từ 01/7/2023</w:t>
            </w:r>
          </w:p>
        </w:tc>
      </w:tr>
      <w:tr w:rsidR="009A63C8" w:rsidRPr="009A63C8" w:rsidTr="009A63C8">
        <w:trPr>
          <w:trHeight w:val="660"/>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1,5% x 20 x 1,49 triệu đồng/tháng = 447.000 đồng/tháng</w:t>
            </w:r>
          </w:p>
        </w:tc>
        <w:tc>
          <w:tcPr>
            <w:tcW w:w="4620" w:type="dxa"/>
            <w:tcBorders>
              <w:top w:val="nil"/>
              <w:left w:val="nil"/>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1,5% x 20 x 1,8 triệu đồng/tháng = 540.000 đồng/tháng</w:t>
            </w:r>
          </w:p>
        </w:tc>
      </w:tr>
    </w:tbl>
    <w:p w:rsidR="009A63C8" w:rsidRPr="009A63C8" w:rsidRDefault="009A63C8" w:rsidP="009A63C8">
      <w:pPr>
        <w:shd w:val="clear" w:color="auto" w:fill="FFFFFF"/>
        <w:spacing w:before="180" w:after="180" w:line="240" w:lineRule="auto"/>
        <w:outlineLvl w:val="2"/>
        <w:rPr>
          <w:rFonts w:eastAsia="Times New Roman" w:cs="Times New Roman"/>
          <w:b/>
          <w:bCs/>
          <w:color w:val="2E2E2E"/>
          <w:sz w:val="30"/>
          <w:szCs w:val="30"/>
        </w:rPr>
      </w:pPr>
      <w:r w:rsidRPr="009A63C8">
        <w:rPr>
          <w:rFonts w:eastAsia="Times New Roman" w:cs="Times New Roman"/>
          <w:b/>
          <w:bCs/>
          <w:color w:val="2E2E2E"/>
          <w:sz w:val="30"/>
        </w:rPr>
        <w:t>1.2. Người tham gia BHYT hộ gia đình</w:t>
      </w:r>
    </w:p>
    <w:p w:rsidR="009A63C8" w:rsidRPr="009A63C8" w:rsidRDefault="009A63C8" w:rsidP="009A63C8">
      <w:pPr>
        <w:shd w:val="clear" w:color="auto" w:fill="FFFFFF"/>
        <w:spacing w:before="180" w:line="240" w:lineRule="auto"/>
        <w:jc w:val="both"/>
        <w:rPr>
          <w:rFonts w:eastAsia="Times New Roman" w:cs="Times New Roman"/>
          <w:color w:val="222222"/>
          <w:szCs w:val="26"/>
        </w:rPr>
      </w:pPr>
      <w:r w:rsidRPr="009A63C8">
        <w:rPr>
          <w:rFonts w:eastAsia="Times New Roman" w:cs="Times New Roman"/>
          <w:color w:val="222222"/>
          <w:szCs w:val="26"/>
        </w:rPr>
        <w:t>Theo điểm e khoản 1 Điều 7 Nghị định 146/2018/NĐ-CP, mức đóng BHYT hộ gia đình được xác định như sau:</w:t>
      </w:r>
    </w:p>
    <w:tbl>
      <w:tblPr>
        <w:tblW w:w="9225" w:type="dxa"/>
        <w:shd w:val="clear" w:color="auto" w:fill="FFFFFF"/>
        <w:tblCellMar>
          <w:left w:w="0" w:type="dxa"/>
          <w:right w:w="0" w:type="dxa"/>
        </w:tblCellMar>
        <w:tblLook w:val="04A0"/>
      </w:tblPr>
      <w:tblGrid>
        <w:gridCol w:w="3390"/>
        <w:gridCol w:w="5835"/>
      </w:tblGrid>
      <w:tr w:rsidR="009A63C8" w:rsidRPr="009A63C8" w:rsidTr="009A63C8">
        <w:trPr>
          <w:trHeight w:val="405"/>
        </w:trPr>
        <w:tc>
          <w:tcPr>
            <w:tcW w:w="33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Thành viên hộ gia đình</w:t>
            </w:r>
          </w:p>
        </w:tc>
        <w:tc>
          <w:tcPr>
            <w:tcW w:w="5835" w:type="dxa"/>
            <w:tcBorders>
              <w:top w:val="single" w:sz="8" w:space="0" w:color="auto"/>
              <w:left w:val="nil"/>
              <w:bottom w:val="single" w:sz="8" w:space="0" w:color="auto"/>
              <w:right w:val="single" w:sz="8" w:space="0" w:color="auto"/>
            </w:tcBorders>
            <w:shd w:val="clear" w:color="auto" w:fill="auto"/>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Số tiền đóng/tháng</w:t>
            </w:r>
          </w:p>
        </w:tc>
      </w:tr>
      <w:tr w:rsidR="009A63C8" w:rsidRPr="009A63C8" w:rsidTr="009A63C8">
        <w:trPr>
          <w:trHeight w:val="405"/>
        </w:trPr>
        <w:tc>
          <w:tcPr>
            <w:tcW w:w="3390" w:type="dxa"/>
            <w:tcBorders>
              <w:top w:val="nil"/>
              <w:left w:val="single" w:sz="8" w:space="0" w:color="auto"/>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Người thứ nhất</w:t>
            </w:r>
          </w:p>
        </w:tc>
        <w:tc>
          <w:tcPr>
            <w:tcW w:w="5835" w:type="dxa"/>
            <w:tcBorders>
              <w:top w:val="nil"/>
              <w:left w:val="nil"/>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4,5% mức lương cơ sở</w:t>
            </w:r>
          </w:p>
        </w:tc>
      </w:tr>
      <w:tr w:rsidR="009A63C8" w:rsidRPr="009A63C8" w:rsidTr="009A63C8">
        <w:trPr>
          <w:trHeight w:val="405"/>
        </w:trPr>
        <w:tc>
          <w:tcPr>
            <w:tcW w:w="3390" w:type="dxa"/>
            <w:tcBorders>
              <w:top w:val="nil"/>
              <w:left w:val="single" w:sz="8" w:space="0" w:color="auto"/>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Người thứ hai</w:t>
            </w:r>
          </w:p>
        </w:tc>
        <w:tc>
          <w:tcPr>
            <w:tcW w:w="5835" w:type="dxa"/>
            <w:tcBorders>
              <w:top w:val="nil"/>
              <w:left w:val="nil"/>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70% mức đóng của người thứ nhất</w:t>
            </w:r>
          </w:p>
        </w:tc>
      </w:tr>
      <w:tr w:rsidR="009A63C8" w:rsidRPr="009A63C8" w:rsidTr="009A63C8">
        <w:trPr>
          <w:trHeight w:val="405"/>
        </w:trPr>
        <w:tc>
          <w:tcPr>
            <w:tcW w:w="3390" w:type="dxa"/>
            <w:tcBorders>
              <w:top w:val="nil"/>
              <w:left w:val="single" w:sz="8" w:space="0" w:color="auto"/>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Người thứ ba</w:t>
            </w:r>
          </w:p>
        </w:tc>
        <w:tc>
          <w:tcPr>
            <w:tcW w:w="5835" w:type="dxa"/>
            <w:tcBorders>
              <w:top w:val="nil"/>
              <w:left w:val="nil"/>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60% mức đóng của người thứ nhất</w:t>
            </w:r>
          </w:p>
        </w:tc>
      </w:tr>
      <w:tr w:rsidR="009A63C8" w:rsidRPr="009A63C8" w:rsidTr="009A63C8">
        <w:trPr>
          <w:trHeight w:val="405"/>
        </w:trPr>
        <w:tc>
          <w:tcPr>
            <w:tcW w:w="3390" w:type="dxa"/>
            <w:tcBorders>
              <w:top w:val="nil"/>
              <w:left w:val="single" w:sz="8" w:space="0" w:color="auto"/>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Người thứ tư</w:t>
            </w:r>
          </w:p>
        </w:tc>
        <w:tc>
          <w:tcPr>
            <w:tcW w:w="5835" w:type="dxa"/>
            <w:tcBorders>
              <w:top w:val="nil"/>
              <w:left w:val="nil"/>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50% mức đóng của người thứ nhất</w:t>
            </w:r>
          </w:p>
        </w:tc>
      </w:tr>
      <w:tr w:rsidR="009A63C8" w:rsidRPr="009A63C8" w:rsidTr="009A63C8">
        <w:trPr>
          <w:trHeight w:val="405"/>
        </w:trPr>
        <w:tc>
          <w:tcPr>
            <w:tcW w:w="3390" w:type="dxa"/>
            <w:tcBorders>
              <w:top w:val="nil"/>
              <w:left w:val="single" w:sz="8" w:space="0" w:color="auto"/>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lastRenderedPageBreak/>
              <w:t>Người thứ năm trở đi</w:t>
            </w:r>
          </w:p>
        </w:tc>
        <w:tc>
          <w:tcPr>
            <w:tcW w:w="5835" w:type="dxa"/>
            <w:tcBorders>
              <w:top w:val="nil"/>
              <w:left w:val="nil"/>
              <w:bottom w:val="single" w:sz="8" w:space="0" w:color="auto"/>
              <w:right w:val="single" w:sz="8" w:space="0" w:color="auto"/>
            </w:tcBorders>
            <w:shd w:val="clear" w:color="auto" w:fill="FFFFFF"/>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40% mức đóng của người thứ nhất</w:t>
            </w:r>
          </w:p>
        </w:tc>
      </w:tr>
    </w:tbl>
    <w:p w:rsidR="009A63C8" w:rsidRPr="009A63C8" w:rsidRDefault="009A63C8" w:rsidP="009A63C8">
      <w:pPr>
        <w:shd w:val="clear" w:color="auto" w:fill="FFFFFF"/>
        <w:spacing w:before="180" w:line="240" w:lineRule="auto"/>
        <w:rPr>
          <w:rFonts w:eastAsia="Times New Roman" w:cs="Times New Roman"/>
          <w:color w:val="222222"/>
          <w:szCs w:val="26"/>
        </w:rPr>
      </w:pPr>
      <w:r w:rsidRPr="009A63C8">
        <w:rPr>
          <w:rFonts w:eastAsia="Times New Roman" w:cs="Times New Roman"/>
          <w:color w:val="222222"/>
          <w:szCs w:val="26"/>
        </w:rPr>
        <w:t>Từ 01/7/2023, mức đóng bảo hiểm y tế hộ gia đình thay đổi như sau:</w:t>
      </w:r>
    </w:p>
    <w:tbl>
      <w:tblPr>
        <w:tblW w:w="9165" w:type="dxa"/>
        <w:tblCellMar>
          <w:left w:w="0" w:type="dxa"/>
          <w:right w:w="0" w:type="dxa"/>
        </w:tblCellMar>
        <w:tblLook w:val="04A0"/>
      </w:tblPr>
      <w:tblGrid>
        <w:gridCol w:w="2970"/>
        <w:gridCol w:w="3330"/>
        <w:gridCol w:w="2865"/>
      </w:tblGrid>
      <w:tr w:rsidR="009A63C8" w:rsidRPr="009A63C8" w:rsidTr="009A63C8">
        <w:trPr>
          <w:trHeight w:val="375"/>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Thành viên hộ gia đình</w:t>
            </w:r>
          </w:p>
        </w:tc>
        <w:tc>
          <w:tcPr>
            <w:tcW w:w="3330" w:type="dxa"/>
            <w:tcBorders>
              <w:top w:val="single" w:sz="8" w:space="0" w:color="auto"/>
              <w:left w:val="nil"/>
              <w:bottom w:val="single" w:sz="8" w:space="0" w:color="auto"/>
              <w:right w:val="single" w:sz="8" w:space="0" w:color="auto"/>
            </w:tcBorders>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Tiền đóng BHYT hộ gia đình trước đó</w:t>
            </w:r>
          </w:p>
        </w:tc>
        <w:tc>
          <w:tcPr>
            <w:tcW w:w="2865" w:type="dxa"/>
            <w:tcBorders>
              <w:top w:val="single" w:sz="8" w:space="0" w:color="auto"/>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Tiền đóng BHYT hộ gia đình từ 01/7/2023</w:t>
            </w:r>
          </w:p>
        </w:tc>
      </w:tr>
      <w:tr w:rsidR="009A63C8" w:rsidRPr="009A63C8" w:rsidTr="009A63C8">
        <w:trPr>
          <w:trHeight w:val="24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40" w:lineRule="auto"/>
              <w:rPr>
                <w:rFonts w:eastAsia="Times New Roman" w:cs="Times New Roman"/>
                <w:color w:val="222222"/>
                <w:sz w:val="24"/>
                <w:szCs w:val="24"/>
              </w:rPr>
            </w:pPr>
            <w:r w:rsidRPr="009A63C8">
              <w:rPr>
                <w:rFonts w:eastAsia="Times New Roman" w:cs="Times New Roman"/>
                <w:color w:val="222222"/>
                <w:sz w:val="24"/>
                <w:szCs w:val="24"/>
              </w:rPr>
              <w:t>Người thứ nhất</w:t>
            </w:r>
          </w:p>
        </w:tc>
        <w:tc>
          <w:tcPr>
            <w:tcW w:w="3330"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804.600 đồng/năm</w:t>
            </w:r>
          </w:p>
        </w:tc>
        <w:tc>
          <w:tcPr>
            <w:tcW w:w="2865"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972.000 đồng/năm</w:t>
            </w:r>
          </w:p>
        </w:tc>
      </w:tr>
      <w:tr w:rsidR="009A63C8" w:rsidRPr="009A63C8" w:rsidTr="009A63C8">
        <w:trPr>
          <w:trHeight w:val="24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40" w:lineRule="auto"/>
              <w:rPr>
                <w:rFonts w:eastAsia="Times New Roman" w:cs="Times New Roman"/>
                <w:color w:val="222222"/>
                <w:sz w:val="24"/>
                <w:szCs w:val="24"/>
              </w:rPr>
            </w:pPr>
            <w:r w:rsidRPr="009A63C8">
              <w:rPr>
                <w:rFonts w:eastAsia="Times New Roman" w:cs="Times New Roman"/>
                <w:color w:val="222222"/>
                <w:sz w:val="24"/>
                <w:szCs w:val="24"/>
              </w:rPr>
              <w:t>Người thứ hai</w:t>
            </w:r>
          </w:p>
        </w:tc>
        <w:tc>
          <w:tcPr>
            <w:tcW w:w="3330"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563.220 đồng/năm</w:t>
            </w:r>
          </w:p>
        </w:tc>
        <w:tc>
          <w:tcPr>
            <w:tcW w:w="2865"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680.400 đồng/năm</w:t>
            </w:r>
          </w:p>
        </w:tc>
      </w:tr>
      <w:tr w:rsidR="009A63C8" w:rsidRPr="009A63C8" w:rsidTr="009A63C8">
        <w:trPr>
          <w:trHeight w:val="24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40" w:lineRule="auto"/>
              <w:rPr>
                <w:rFonts w:eastAsia="Times New Roman" w:cs="Times New Roman"/>
                <w:color w:val="222222"/>
                <w:sz w:val="24"/>
                <w:szCs w:val="24"/>
              </w:rPr>
            </w:pPr>
            <w:r w:rsidRPr="009A63C8">
              <w:rPr>
                <w:rFonts w:eastAsia="Times New Roman" w:cs="Times New Roman"/>
                <w:color w:val="222222"/>
                <w:sz w:val="24"/>
                <w:szCs w:val="24"/>
              </w:rPr>
              <w:t>Người thứ ba</w:t>
            </w:r>
          </w:p>
        </w:tc>
        <w:tc>
          <w:tcPr>
            <w:tcW w:w="3330"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482.760 đồng/năm</w:t>
            </w:r>
          </w:p>
        </w:tc>
        <w:tc>
          <w:tcPr>
            <w:tcW w:w="2865"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583.200 đồng/năm</w:t>
            </w:r>
          </w:p>
        </w:tc>
      </w:tr>
      <w:tr w:rsidR="009A63C8" w:rsidRPr="009A63C8" w:rsidTr="009A63C8">
        <w:trPr>
          <w:trHeight w:val="240"/>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40" w:lineRule="auto"/>
              <w:rPr>
                <w:rFonts w:eastAsia="Times New Roman" w:cs="Times New Roman"/>
                <w:color w:val="222222"/>
                <w:sz w:val="24"/>
                <w:szCs w:val="24"/>
              </w:rPr>
            </w:pPr>
            <w:r w:rsidRPr="009A63C8">
              <w:rPr>
                <w:rFonts w:eastAsia="Times New Roman" w:cs="Times New Roman"/>
                <w:color w:val="222222"/>
                <w:sz w:val="24"/>
                <w:szCs w:val="24"/>
              </w:rPr>
              <w:t>Người thứ tư</w:t>
            </w:r>
          </w:p>
        </w:tc>
        <w:tc>
          <w:tcPr>
            <w:tcW w:w="3330"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402.300 đồng/năm</w:t>
            </w:r>
          </w:p>
        </w:tc>
        <w:tc>
          <w:tcPr>
            <w:tcW w:w="2865"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color w:val="222222"/>
                <w:sz w:val="24"/>
                <w:szCs w:val="24"/>
              </w:rPr>
              <w:t>486.000 đồng/năm</w:t>
            </w:r>
          </w:p>
        </w:tc>
      </w:tr>
      <w:tr w:rsidR="009A63C8" w:rsidRPr="009A63C8" w:rsidTr="009A63C8">
        <w:trPr>
          <w:trHeight w:val="105"/>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Người thứ năm trở đi</w:t>
            </w:r>
          </w:p>
        </w:tc>
        <w:tc>
          <w:tcPr>
            <w:tcW w:w="3330"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105" w:lineRule="atLeast"/>
              <w:jc w:val="center"/>
              <w:rPr>
                <w:rFonts w:eastAsia="Times New Roman" w:cs="Times New Roman"/>
                <w:color w:val="222222"/>
                <w:sz w:val="24"/>
                <w:szCs w:val="24"/>
              </w:rPr>
            </w:pPr>
            <w:r w:rsidRPr="009A63C8">
              <w:rPr>
                <w:rFonts w:eastAsia="Times New Roman" w:cs="Times New Roman"/>
                <w:color w:val="222222"/>
                <w:sz w:val="24"/>
                <w:szCs w:val="24"/>
              </w:rPr>
              <w:t>321.840 đồng/năm</w:t>
            </w:r>
          </w:p>
        </w:tc>
        <w:tc>
          <w:tcPr>
            <w:tcW w:w="2865" w:type="dxa"/>
            <w:tcBorders>
              <w:top w:val="nil"/>
              <w:left w:val="nil"/>
              <w:bottom w:val="single" w:sz="8" w:space="0" w:color="auto"/>
              <w:right w:val="single" w:sz="8" w:space="0" w:color="auto"/>
            </w:tcBorders>
            <w:vAlign w:val="center"/>
            <w:hideMark/>
          </w:tcPr>
          <w:p w:rsidR="009A63C8" w:rsidRPr="009A63C8" w:rsidRDefault="009A63C8" w:rsidP="009A63C8">
            <w:pPr>
              <w:spacing w:before="180" w:after="180" w:line="105" w:lineRule="atLeast"/>
              <w:jc w:val="center"/>
              <w:rPr>
                <w:rFonts w:eastAsia="Times New Roman" w:cs="Times New Roman"/>
                <w:color w:val="222222"/>
                <w:sz w:val="24"/>
                <w:szCs w:val="24"/>
              </w:rPr>
            </w:pPr>
            <w:r w:rsidRPr="009A63C8">
              <w:rPr>
                <w:rFonts w:eastAsia="Times New Roman" w:cs="Times New Roman"/>
                <w:color w:val="222222"/>
                <w:sz w:val="24"/>
                <w:szCs w:val="24"/>
              </w:rPr>
              <w:t>388.800 đồng/năm</w:t>
            </w:r>
          </w:p>
        </w:tc>
      </w:tr>
    </w:tbl>
    <w:p w:rsidR="009A63C8" w:rsidRPr="009A63C8" w:rsidRDefault="001A5344" w:rsidP="009A63C8">
      <w:pPr>
        <w:shd w:val="clear" w:color="auto" w:fill="FFFFFF"/>
        <w:spacing w:after="0" w:line="240" w:lineRule="auto"/>
        <w:rPr>
          <w:rFonts w:eastAsia="Times New Roman" w:cs="Times New Roman"/>
          <w:color w:val="2E2E2E"/>
          <w:szCs w:val="26"/>
        </w:rPr>
      </w:pPr>
      <w:r w:rsidRPr="001A5344">
        <w:rPr>
          <w:rFonts w:eastAsia="Times New Roman" w:cs="Times New Roman"/>
          <w:color w:val="2E2E2E"/>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ính sách mới về bảo hiểm y tế có hiệu lực từ 01/7/2023" style="width:24pt;height:24pt"/>
        </w:pict>
      </w:r>
      <w:r w:rsidR="009A63C8" w:rsidRPr="009A63C8">
        <w:rPr>
          <w:rFonts w:eastAsia="Times New Roman" w:cs="Times New Roman"/>
          <w:i/>
          <w:iCs/>
          <w:color w:val="2E2E2E"/>
        </w:rPr>
        <w:t>Chính sách mới về bảo hiểm y tế có hiệu lực từ 01/7/2023 (Ảnh minh họa</w:t>
      </w:r>
      <w:r w:rsidR="009A63C8" w:rsidRPr="009A63C8">
        <w:rPr>
          <w:rFonts w:eastAsia="Times New Roman" w:cs="Times New Roman"/>
          <w:color w:val="2E2E2E"/>
          <w:szCs w:val="26"/>
        </w:rPr>
        <w:t>)</w:t>
      </w:r>
    </w:p>
    <w:p w:rsidR="009A63C8" w:rsidRPr="009A63C8" w:rsidRDefault="009A63C8" w:rsidP="009A63C8">
      <w:pPr>
        <w:shd w:val="clear" w:color="auto" w:fill="FFFFFF"/>
        <w:spacing w:before="180" w:after="180" w:line="240" w:lineRule="auto"/>
        <w:outlineLvl w:val="2"/>
        <w:rPr>
          <w:rFonts w:eastAsia="Times New Roman" w:cs="Times New Roman"/>
          <w:b/>
          <w:bCs/>
          <w:color w:val="2E2E2E"/>
          <w:sz w:val="30"/>
          <w:szCs w:val="30"/>
        </w:rPr>
      </w:pPr>
      <w:r w:rsidRPr="009A63C8">
        <w:rPr>
          <w:rFonts w:eastAsia="Times New Roman" w:cs="Times New Roman"/>
          <w:b/>
          <w:bCs/>
          <w:color w:val="2E2E2E"/>
          <w:sz w:val="30"/>
        </w:rPr>
        <w:t>1.3. Đối với học sinh, sinh viên</w:t>
      </w:r>
    </w:p>
    <w:p w:rsidR="009A63C8" w:rsidRPr="009A63C8" w:rsidRDefault="009A63C8" w:rsidP="009A63C8">
      <w:pPr>
        <w:shd w:val="clear" w:color="auto" w:fill="FFFFFF"/>
        <w:spacing w:before="180" w:line="240" w:lineRule="auto"/>
        <w:jc w:val="both"/>
        <w:rPr>
          <w:rFonts w:eastAsia="Times New Roman" w:cs="Times New Roman"/>
          <w:color w:val="222222"/>
          <w:szCs w:val="26"/>
        </w:rPr>
      </w:pPr>
      <w:r w:rsidRPr="009A63C8">
        <w:rPr>
          <w:rFonts w:eastAsia="Times New Roman" w:cs="Times New Roman"/>
          <w:color w:val="222222"/>
          <w:szCs w:val="26"/>
        </w:rPr>
        <w:t>Căn cứ khoản 11 Điều 18 và điểm 4.2 khoản 4 Điều 17 </w:t>
      </w:r>
      <w:hyperlink r:id="rId6" w:history="1">
        <w:r w:rsidRPr="00C238A1">
          <w:rPr>
            <w:rFonts w:eastAsia="Times New Roman" w:cs="Times New Roman"/>
            <w:color w:val="FF0000"/>
            <w:u w:val="single"/>
          </w:rPr>
          <w:t>Quyết định 595/QĐ-BHXH năm 2017</w:t>
        </w:r>
      </w:hyperlink>
      <w:r w:rsidRPr="009A63C8">
        <w:rPr>
          <w:rFonts w:eastAsia="Times New Roman" w:cs="Times New Roman"/>
          <w:color w:val="FF0000"/>
          <w:szCs w:val="26"/>
        </w:rPr>
        <w:t>,</w:t>
      </w:r>
      <w:r w:rsidRPr="009A63C8">
        <w:rPr>
          <w:rFonts w:eastAsia="Times New Roman" w:cs="Times New Roman"/>
          <w:color w:val="222222"/>
          <w:szCs w:val="26"/>
        </w:rPr>
        <w:t xml:space="preserve"> học sinh, sinh viên tham gia BHYT sẽ phải đóng theo mức sau:</w:t>
      </w:r>
    </w:p>
    <w:tbl>
      <w:tblPr>
        <w:tblW w:w="9180" w:type="dxa"/>
        <w:tblCellMar>
          <w:left w:w="0" w:type="dxa"/>
          <w:right w:w="0" w:type="dxa"/>
        </w:tblCellMar>
        <w:tblLook w:val="04A0"/>
      </w:tblPr>
      <w:tblGrid>
        <w:gridCol w:w="2084"/>
        <w:gridCol w:w="378"/>
        <w:gridCol w:w="735"/>
        <w:gridCol w:w="420"/>
        <w:gridCol w:w="765"/>
        <w:gridCol w:w="330"/>
        <w:gridCol w:w="1949"/>
        <w:gridCol w:w="255"/>
        <w:gridCol w:w="2264"/>
      </w:tblGrid>
      <w:tr w:rsidR="009A63C8" w:rsidRPr="009A63C8" w:rsidTr="009A63C8">
        <w:trPr>
          <w:trHeight w:val="825"/>
        </w:trPr>
        <w:tc>
          <w:tcPr>
            <w:tcW w:w="2084"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Mức đóng BHYT</w:t>
            </w:r>
          </w:p>
        </w:tc>
        <w:tc>
          <w:tcPr>
            <w:tcW w:w="378"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w:t>
            </w:r>
          </w:p>
        </w:tc>
        <w:tc>
          <w:tcPr>
            <w:tcW w:w="735"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70%</w:t>
            </w:r>
          </w:p>
        </w:tc>
        <w:tc>
          <w:tcPr>
            <w:tcW w:w="420"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x</w:t>
            </w:r>
          </w:p>
        </w:tc>
        <w:tc>
          <w:tcPr>
            <w:tcW w:w="765"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4,5%</w:t>
            </w:r>
          </w:p>
        </w:tc>
        <w:tc>
          <w:tcPr>
            <w:tcW w:w="330"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x</w:t>
            </w:r>
          </w:p>
        </w:tc>
        <w:tc>
          <w:tcPr>
            <w:tcW w:w="1949"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Mức lương cơ sở</w:t>
            </w:r>
          </w:p>
        </w:tc>
        <w:tc>
          <w:tcPr>
            <w:tcW w:w="255" w:type="dxa"/>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x</w:t>
            </w:r>
          </w:p>
        </w:tc>
        <w:tc>
          <w:tcPr>
            <w:tcW w:w="2264" w:type="dxa"/>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06 tháng/01 năm</w:t>
            </w:r>
          </w:p>
        </w:tc>
      </w:tr>
    </w:tbl>
    <w:p w:rsidR="009A63C8" w:rsidRPr="009A63C8" w:rsidRDefault="009A63C8" w:rsidP="009A63C8">
      <w:pPr>
        <w:shd w:val="clear" w:color="auto" w:fill="FFFFFF"/>
        <w:spacing w:before="180" w:line="240" w:lineRule="auto"/>
        <w:rPr>
          <w:rFonts w:eastAsia="Times New Roman" w:cs="Times New Roman"/>
          <w:color w:val="222222"/>
          <w:szCs w:val="26"/>
        </w:rPr>
      </w:pPr>
      <w:r w:rsidRPr="009A63C8">
        <w:rPr>
          <w:rFonts w:eastAsia="Times New Roman" w:cs="Times New Roman"/>
          <w:color w:val="222222"/>
          <w:szCs w:val="26"/>
        </w:rPr>
        <w:t>Từ 01/7/2023, mức đóng bảo hiểm y tế của học sinh, sinh viên thay đổi như sau:</w:t>
      </w:r>
    </w:p>
    <w:tbl>
      <w:tblPr>
        <w:tblW w:w="9180" w:type="dxa"/>
        <w:tblCellMar>
          <w:left w:w="0" w:type="dxa"/>
          <w:right w:w="0" w:type="dxa"/>
        </w:tblCellMar>
        <w:tblLook w:val="04A0"/>
      </w:tblPr>
      <w:tblGrid>
        <w:gridCol w:w="4405"/>
        <w:gridCol w:w="4775"/>
      </w:tblGrid>
      <w:tr w:rsidR="009A63C8" w:rsidRPr="009A63C8" w:rsidTr="009A63C8">
        <w:trPr>
          <w:trHeight w:val="435"/>
        </w:trPr>
        <w:tc>
          <w:tcPr>
            <w:tcW w:w="4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Mức đóng BHYT học sinh, sinh viên trước đó</w:t>
            </w:r>
          </w:p>
        </w:tc>
        <w:tc>
          <w:tcPr>
            <w:tcW w:w="4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Mức đóng BHYT học sinh, sinh viên từ 01/7/2023</w:t>
            </w:r>
          </w:p>
        </w:tc>
      </w:tr>
      <w:tr w:rsidR="009A63C8" w:rsidRPr="009A63C8" w:rsidTr="009A63C8">
        <w:trPr>
          <w:trHeight w:val="660"/>
        </w:trPr>
        <w:tc>
          <w:tcPr>
            <w:tcW w:w="4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40" w:lineRule="auto"/>
              <w:rPr>
                <w:rFonts w:eastAsia="Times New Roman" w:cs="Times New Roman"/>
                <w:color w:val="222222"/>
                <w:sz w:val="24"/>
                <w:szCs w:val="24"/>
              </w:rPr>
            </w:pPr>
            <w:r w:rsidRPr="009A63C8">
              <w:rPr>
                <w:rFonts w:eastAsia="Times New Roman" w:cs="Times New Roman"/>
                <w:i/>
                <w:iCs/>
                <w:color w:val="222222"/>
                <w:sz w:val="24"/>
                <w:szCs w:val="24"/>
              </w:rPr>
              <w:t>70% x 4,5% x 1,49 triệu đồng/tháng x 12 tháng = 563.220 đồng/năm</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rPr>
                <w:rFonts w:eastAsia="Times New Roman" w:cs="Times New Roman"/>
                <w:color w:val="222222"/>
                <w:sz w:val="24"/>
                <w:szCs w:val="24"/>
              </w:rPr>
            </w:pPr>
            <w:r w:rsidRPr="009A63C8">
              <w:rPr>
                <w:rFonts w:eastAsia="Times New Roman" w:cs="Times New Roman"/>
                <w:i/>
                <w:iCs/>
                <w:color w:val="222222"/>
                <w:sz w:val="24"/>
                <w:szCs w:val="24"/>
              </w:rPr>
              <w:t>70% x 4,5% x 1,8 triệu đồng/tháng x 12 tháng = 680.400 đồng/năm</w:t>
            </w:r>
          </w:p>
        </w:tc>
      </w:tr>
    </w:tbl>
    <w:p w:rsidR="009A63C8" w:rsidRPr="009A63C8" w:rsidRDefault="009A63C8" w:rsidP="009A63C8">
      <w:pPr>
        <w:shd w:val="clear" w:color="auto" w:fill="FFFFFF"/>
        <w:spacing w:before="180" w:after="180" w:line="240" w:lineRule="auto"/>
        <w:outlineLvl w:val="2"/>
        <w:rPr>
          <w:rFonts w:eastAsia="Times New Roman" w:cs="Times New Roman"/>
          <w:b/>
          <w:bCs/>
          <w:color w:val="2E2E2E"/>
          <w:sz w:val="30"/>
          <w:szCs w:val="30"/>
        </w:rPr>
      </w:pPr>
      <w:r w:rsidRPr="009A63C8">
        <w:rPr>
          <w:rFonts w:eastAsia="Times New Roman" w:cs="Times New Roman"/>
          <w:b/>
          <w:bCs/>
          <w:color w:val="2E2E2E"/>
          <w:sz w:val="30"/>
        </w:rPr>
        <w:t>1.4. Đối với hộ nghèo, cận nghèo</w:t>
      </w:r>
    </w:p>
    <w:p w:rsidR="009A63C8" w:rsidRPr="009A63C8" w:rsidRDefault="009A63C8" w:rsidP="009A63C8">
      <w:pPr>
        <w:shd w:val="clear" w:color="auto" w:fill="FFFFFF"/>
        <w:spacing w:before="180" w:line="240" w:lineRule="auto"/>
        <w:jc w:val="both"/>
        <w:rPr>
          <w:rFonts w:eastAsia="Times New Roman" w:cs="Times New Roman"/>
          <w:color w:val="222222"/>
          <w:szCs w:val="26"/>
        </w:rPr>
      </w:pPr>
      <w:r w:rsidRPr="009A63C8">
        <w:rPr>
          <w:rFonts w:eastAsia="Times New Roman" w:cs="Times New Roman"/>
          <w:color w:val="222222"/>
          <w:szCs w:val="26"/>
        </w:rPr>
        <w:t>Thành viên thuộc hộ cận nghèo, hộ nghèo đa chiều tham gia BHYT phải đóng BHYT theo mức sau:</w:t>
      </w:r>
    </w:p>
    <w:tbl>
      <w:tblPr>
        <w:tblW w:w="9180" w:type="dxa"/>
        <w:tblCellMar>
          <w:left w:w="0" w:type="dxa"/>
          <w:right w:w="0" w:type="dxa"/>
        </w:tblCellMar>
        <w:tblLook w:val="04A0"/>
      </w:tblPr>
      <w:tblGrid>
        <w:gridCol w:w="2084"/>
        <w:gridCol w:w="378"/>
        <w:gridCol w:w="735"/>
        <w:gridCol w:w="420"/>
        <w:gridCol w:w="765"/>
        <w:gridCol w:w="330"/>
        <w:gridCol w:w="1949"/>
        <w:gridCol w:w="255"/>
        <w:gridCol w:w="2264"/>
      </w:tblGrid>
      <w:tr w:rsidR="009A63C8" w:rsidRPr="009A63C8" w:rsidTr="009A63C8">
        <w:trPr>
          <w:trHeight w:val="825"/>
        </w:trPr>
        <w:tc>
          <w:tcPr>
            <w:tcW w:w="2084"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Mức đóng BHYT</w:t>
            </w:r>
          </w:p>
        </w:tc>
        <w:tc>
          <w:tcPr>
            <w:tcW w:w="378"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w:t>
            </w:r>
          </w:p>
        </w:tc>
        <w:tc>
          <w:tcPr>
            <w:tcW w:w="735"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30%</w:t>
            </w:r>
          </w:p>
        </w:tc>
        <w:tc>
          <w:tcPr>
            <w:tcW w:w="420"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x</w:t>
            </w:r>
          </w:p>
        </w:tc>
        <w:tc>
          <w:tcPr>
            <w:tcW w:w="765"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4,5%</w:t>
            </w:r>
          </w:p>
        </w:tc>
        <w:tc>
          <w:tcPr>
            <w:tcW w:w="330"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x</w:t>
            </w:r>
          </w:p>
        </w:tc>
        <w:tc>
          <w:tcPr>
            <w:tcW w:w="1949" w:type="dxa"/>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Mức lương cơ sở</w:t>
            </w:r>
          </w:p>
        </w:tc>
        <w:tc>
          <w:tcPr>
            <w:tcW w:w="255" w:type="dxa"/>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x</w:t>
            </w:r>
          </w:p>
        </w:tc>
        <w:tc>
          <w:tcPr>
            <w:tcW w:w="2264" w:type="dxa"/>
            <w:vAlign w:val="center"/>
            <w:hideMark/>
          </w:tcPr>
          <w:p w:rsidR="009A63C8" w:rsidRPr="009A63C8" w:rsidRDefault="009A63C8" w:rsidP="009A63C8">
            <w:pPr>
              <w:spacing w:before="180" w:after="180" w:line="240" w:lineRule="auto"/>
              <w:rPr>
                <w:rFonts w:eastAsia="Times New Roman" w:cs="Times New Roman"/>
                <w:color w:val="222222"/>
                <w:sz w:val="24"/>
                <w:szCs w:val="24"/>
              </w:rPr>
            </w:pPr>
            <w:r w:rsidRPr="009A63C8">
              <w:rPr>
                <w:rFonts w:eastAsia="Times New Roman" w:cs="Times New Roman"/>
                <w:i/>
                <w:iCs/>
                <w:color w:val="222222"/>
                <w:sz w:val="24"/>
                <w:szCs w:val="24"/>
              </w:rPr>
              <w:t>Thời gian đóng</w:t>
            </w:r>
          </w:p>
        </w:tc>
      </w:tr>
    </w:tbl>
    <w:p w:rsidR="009A63C8" w:rsidRPr="009A63C8" w:rsidRDefault="009A63C8" w:rsidP="009A63C8">
      <w:pPr>
        <w:shd w:val="clear" w:color="auto" w:fill="FFFFFF"/>
        <w:spacing w:before="180" w:after="180" w:line="240" w:lineRule="auto"/>
        <w:jc w:val="both"/>
        <w:rPr>
          <w:rFonts w:eastAsia="Times New Roman" w:cs="Times New Roman"/>
          <w:color w:val="FF0000"/>
          <w:szCs w:val="26"/>
        </w:rPr>
      </w:pPr>
      <w:r w:rsidRPr="009A63C8">
        <w:rPr>
          <w:rFonts w:eastAsia="Times New Roman" w:cs="Times New Roman"/>
          <w:i/>
          <w:iCs/>
          <w:color w:val="222222"/>
        </w:rPr>
        <w:t>Căn cứ: Khoản 10 Điều 18 Quyết định 595/QĐ-BHXH năm 2017, sửa bởi </w:t>
      </w:r>
      <w:hyperlink r:id="rId7" w:history="1">
        <w:r w:rsidRPr="00C238A1">
          <w:rPr>
            <w:rFonts w:eastAsia="Times New Roman" w:cs="Times New Roman"/>
            <w:i/>
            <w:iCs/>
            <w:color w:val="FF0000"/>
            <w:u w:val="single"/>
          </w:rPr>
          <w:t>Quyết định 505/QĐ-BHXH năm 2019.</w:t>
        </w:r>
      </w:hyperlink>
    </w:p>
    <w:p w:rsidR="009A63C8" w:rsidRPr="009A63C8" w:rsidRDefault="009A63C8" w:rsidP="009A63C8">
      <w:pPr>
        <w:shd w:val="clear" w:color="auto" w:fill="FFFFFF"/>
        <w:spacing w:before="180" w:line="240" w:lineRule="auto"/>
        <w:jc w:val="both"/>
        <w:rPr>
          <w:rFonts w:eastAsia="Times New Roman" w:cs="Times New Roman"/>
          <w:color w:val="222222"/>
          <w:szCs w:val="26"/>
        </w:rPr>
      </w:pPr>
      <w:r w:rsidRPr="009A63C8">
        <w:rPr>
          <w:rFonts w:eastAsia="Times New Roman" w:cs="Times New Roman"/>
          <w:color w:val="222222"/>
          <w:szCs w:val="26"/>
        </w:rPr>
        <w:t>Từ 01/7/2023, mức đóng bảo hiểm y tế của hộ nghèo, cận nghèo thay đổi như sau:</w:t>
      </w:r>
    </w:p>
    <w:tbl>
      <w:tblPr>
        <w:tblW w:w="9180" w:type="dxa"/>
        <w:tblCellMar>
          <w:left w:w="0" w:type="dxa"/>
          <w:right w:w="0" w:type="dxa"/>
        </w:tblCellMar>
        <w:tblLook w:val="04A0"/>
      </w:tblPr>
      <w:tblGrid>
        <w:gridCol w:w="4405"/>
        <w:gridCol w:w="4775"/>
      </w:tblGrid>
      <w:tr w:rsidR="009A63C8" w:rsidRPr="009A63C8" w:rsidTr="009A63C8">
        <w:trPr>
          <w:trHeight w:val="435"/>
        </w:trPr>
        <w:tc>
          <w:tcPr>
            <w:tcW w:w="4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Mức đóng BHYT hộ nghèo, cận nghèo trước đó</w:t>
            </w:r>
          </w:p>
        </w:tc>
        <w:tc>
          <w:tcPr>
            <w:tcW w:w="4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b/>
                <w:bCs/>
                <w:color w:val="222222"/>
                <w:sz w:val="24"/>
                <w:szCs w:val="24"/>
              </w:rPr>
              <w:t>Mức đóng BHYT hộ nghèo, cận nghèo từ 01/7/2023</w:t>
            </w:r>
          </w:p>
        </w:tc>
      </w:tr>
      <w:tr w:rsidR="009A63C8" w:rsidRPr="009A63C8" w:rsidTr="009A63C8">
        <w:trPr>
          <w:trHeight w:val="660"/>
        </w:trPr>
        <w:tc>
          <w:tcPr>
            <w:tcW w:w="44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30% x 4,5% x 1,49 triệu đồng/tháng x 12 tháng = 241.380 đồng/năm</w:t>
            </w:r>
          </w:p>
        </w:tc>
        <w:tc>
          <w:tcPr>
            <w:tcW w:w="4775" w:type="dxa"/>
            <w:tcBorders>
              <w:top w:val="nil"/>
              <w:left w:val="nil"/>
              <w:bottom w:val="single" w:sz="8" w:space="0" w:color="auto"/>
              <w:right w:val="single" w:sz="8" w:space="0" w:color="auto"/>
            </w:tcBorders>
            <w:tcMar>
              <w:top w:w="0" w:type="dxa"/>
              <w:left w:w="108" w:type="dxa"/>
              <w:bottom w:w="0" w:type="dxa"/>
              <w:right w:w="108" w:type="dxa"/>
            </w:tcMar>
            <w:hideMark/>
          </w:tcPr>
          <w:p w:rsidR="009A63C8" w:rsidRPr="009A63C8" w:rsidRDefault="009A63C8" w:rsidP="009A63C8">
            <w:pPr>
              <w:spacing w:before="180" w:after="180" w:line="240" w:lineRule="auto"/>
              <w:jc w:val="center"/>
              <w:rPr>
                <w:rFonts w:eastAsia="Times New Roman" w:cs="Times New Roman"/>
                <w:color w:val="222222"/>
                <w:sz w:val="24"/>
                <w:szCs w:val="24"/>
              </w:rPr>
            </w:pPr>
            <w:r w:rsidRPr="009A63C8">
              <w:rPr>
                <w:rFonts w:eastAsia="Times New Roman" w:cs="Times New Roman"/>
                <w:i/>
                <w:iCs/>
                <w:color w:val="222222"/>
                <w:sz w:val="24"/>
                <w:szCs w:val="24"/>
              </w:rPr>
              <w:t>30% x 4,5% x 1,8 triệu đồng/tháng x 12 tháng = 291.600 đồng/năm</w:t>
            </w:r>
          </w:p>
        </w:tc>
      </w:tr>
    </w:tbl>
    <w:p w:rsidR="009A63C8" w:rsidRPr="009A63C8" w:rsidRDefault="009A63C8" w:rsidP="009A63C8">
      <w:pPr>
        <w:shd w:val="clear" w:color="auto" w:fill="FFFFFF"/>
        <w:spacing w:before="180" w:after="180" w:line="240" w:lineRule="auto"/>
        <w:outlineLvl w:val="1"/>
        <w:rPr>
          <w:rFonts w:eastAsia="Times New Roman" w:cs="Times New Roman"/>
          <w:b/>
          <w:bCs/>
          <w:color w:val="2E2E2E"/>
          <w:sz w:val="33"/>
          <w:szCs w:val="33"/>
        </w:rPr>
      </w:pPr>
      <w:r w:rsidRPr="009A63C8">
        <w:rPr>
          <w:rFonts w:eastAsia="Times New Roman" w:cs="Times New Roman"/>
          <w:b/>
          <w:bCs/>
          <w:color w:val="2E2E2E"/>
          <w:sz w:val="33"/>
          <w:szCs w:val="33"/>
        </w:rPr>
        <w:br/>
      </w:r>
      <w:r w:rsidRPr="009A63C8">
        <w:rPr>
          <w:rFonts w:eastAsia="Times New Roman" w:cs="Times New Roman"/>
          <w:b/>
          <w:bCs/>
          <w:color w:val="2E2E2E"/>
          <w:sz w:val="33"/>
        </w:rPr>
        <w:t>2. Hướng dẫn thủ tục online đăng ký khai sinh, nhập khẩu, cấp thẻ BHYT cho trẻ</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Đây là nội dung đáng chú ý được quy định tại </w:t>
      </w:r>
      <w:hyperlink r:id="rId8" w:history="1">
        <w:r w:rsidRPr="00C238A1">
          <w:rPr>
            <w:rFonts w:eastAsia="Times New Roman" w:cs="Times New Roman"/>
            <w:color w:val="FF0000"/>
            <w:u w:val="single"/>
          </w:rPr>
          <w:t>Quyết định số 976/QĐ-BHXH</w:t>
        </w:r>
      </w:hyperlink>
      <w:r w:rsidRPr="009A63C8">
        <w:rPr>
          <w:rFonts w:eastAsia="Times New Roman" w:cs="Times New Roman"/>
          <w:color w:val="FF0000"/>
          <w:szCs w:val="26"/>
        </w:rPr>
        <w:t>,</w:t>
      </w:r>
      <w:r w:rsidRPr="009A63C8">
        <w:rPr>
          <w:rFonts w:eastAsia="Times New Roman" w:cs="Times New Roman"/>
          <w:color w:val="222222"/>
          <w:szCs w:val="26"/>
        </w:rPr>
        <w:t xml:space="preserve"> có hiệu lực từ ngày 01/7/2023.</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Theo đó, người dân có thể thực hiện thủ tục liên thông đăng ký khai sinh, đăng ký thường trú và cấp thẻ BHYT cho trẻ dưới 6 tuổi trên Cổng Dịch vụ công quốc gia với các bước đơn giản như sau:</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b/>
          <w:bCs/>
          <w:color w:val="222222"/>
        </w:rPr>
        <w:t>Bước 1:</w:t>
      </w:r>
      <w:r w:rsidRPr="009A63C8">
        <w:rPr>
          <w:rFonts w:eastAsia="Times New Roman" w:cs="Times New Roman"/>
          <w:color w:val="222222"/>
          <w:szCs w:val="26"/>
        </w:rPr>
        <w:t> Người dân là cha/ mẹ/ người giám hộ/ người thân của trẻ em dưới 6 tuổi đăng nhập tài khoản trên Cổng Dịch vụ công quốc gia: </w:t>
      </w:r>
      <w:hyperlink r:id="rId9" w:tgtFrame="_blank" w:history="1">
        <w:r w:rsidRPr="00C238A1">
          <w:rPr>
            <w:rFonts w:eastAsia="Times New Roman" w:cs="Times New Roman"/>
            <w:color w:val="FF0000"/>
            <w:u w:val="single"/>
          </w:rPr>
          <w:t>https://dichvucong.gov.vn/p/home/dvc-trang-chu.html</w:t>
        </w:r>
      </w:hyperlink>
    </w:p>
    <w:p w:rsidR="009A63C8" w:rsidRPr="009A63C8" w:rsidRDefault="009A63C8" w:rsidP="009A63C8">
      <w:pPr>
        <w:shd w:val="clear" w:color="auto" w:fill="FFFFFF"/>
        <w:spacing w:after="0" w:line="240" w:lineRule="auto"/>
        <w:jc w:val="both"/>
        <w:rPr>
          <w:rFonts w:eastAsia="Times New Roman" w:cs="Times New Roman"/>
          <w:color w:val="2E2E2E"/>
          <w:szCs w:val="26"/>
        </w:rPr>
      </w:pPr>
      <w:r w:rsidRPr="009A63C8">
        <w:rPr>
          <w:rFonts w:eastAsia="Times New Roman" w:cs="Times New Roman"/>
          <w:b/>
          <w:bCs/>
          <w:color w:val="2E2E2E"/>
        </w:rPr>
        <w:t>Bước 2: </w:t>
      </w:r>
      <w:r w:rsidRPr="009A63C8">
        <w:rPr>
          <w:rFonts w:eastAsia="Times New Roman" w:cs="Times New Roman"/>
          <w:color w:val="2E2E2E"/>
          <w:szCs w:val="26"/>
        </w:rPr>
        <w:t>Tìm chọn mục “Dịch vụ công liên thông khai sinh, khai tử”.</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b/>
          <w:bCs/>
          <w:color w:val="222222"/>
        </w:rPr>
        <w:t>Bước 3:</w:t>
      </w:r>
      <w:r w:rsidRPr="009A63C8">
        <w:rPr>
          <w:rFonts w:eastAsia="Times New Roman" w:cs="Times New Roman"/>
          <w:color w:val="222222"/>
          <w:szCs w:val="26"/>
        </w:rPr>
        <w:t> Kê khai đầy đủ, chính xác Tờ khai điện tử liên thông đăng ký khai sinh, đăng ký thường trú và cấp thẻ bảo hiểm y tế cho trẻ em dưới 6 tuổi.</w:t>
      </w:r>
    </w:p>
    <w:p w:rsidR="009A63C8" w:rsidRPr="009A63C8" w:rsidRDefault="009A63C8" w:rsidP="00C238A1">
      <w:pPr>
        <w:shd w:val="clear" w:color="auto" w:fill="FFFFFF"/>
        <w:spacing w:after="0" w:line="240" w:lineRule="auto"/>
        <w:jc w:val="both"/>
        <w:rPr>
          <w:rFonts w:eastAsia="Times New Roman" w:cs="Times New Roman"/>
          <w:color w:val="2E2E2E"/>
          <w:szCs w:val="26"/>
        </w:rPr>
      </w:pPr>
      <w:r w:rsidRPr="009A63C8">
        <w:rPr>
          <w:rFonts w:eastAsia="Times New Roman" w:cs="Times New Roman"/>
          <w:b/>
          <w:bCs/>
          <w:color w:val="222222"/>
        </w:rPr>
        <w:t>Bước 4: </w:t>
      </w:r>
      <w:r w:rsidRPr="009A63C8">
        <w:rPr>
          <w:rFonts w:eastAsia="Times New Roman" w:cs="Times New Roman"/>
          <w:color w:val="222222"/>
          <w:szCs w:val="26"/>
        </w:rPr>
        <w:t>Hệ thống tiếp nhận và giải quyết hồ sơ.</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Thời gian giải quyết nhóm thủ tục hành chính liên thông “Đăng ký khai sinh, đăng ký thường trú, cấp thẻ bảo hiểm y tế cho trẻ dưới 6 tuổi” không quá 04 ngày làm việc, riêng trường hợp cần phải xác minh thông tin thì không quá 06 ngày làm việc (Căn cứ Công văn 2084/VPCP-KSTT ngày 30/3/2023).</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b/>
          <w:bCs/>
          <w:color w:val="222222"/>
        </w:rPr>
        <w:t>Bước 5:</w:t>
      </w:r>
      <w:r w:rsidRPr="009A63C8">
        <w:rPr>
          <w:rFonts w:eastAsia="Times New Roman" w:cs="Times New Roman"/>
          <w:color w:val="222222"/>
          <w:szCs w:val="26"/>
        </w:rPr>
        <w:t> Người dân nhận kết quả giải quyết thủ tục.</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 Bản điện tử Giấy khai sinh, Thông báo kết quả giải quyết đăng ký thường trú và Thẻ bảo hiểm y tế được tự động gửi về tài khoản trên Cổng dịch vụ công quốc gia.</w:t>
      </w:r>
    </w:p>
    <w:p w:rsidR="00C238A1" w:rsidRPr="00C238A1" w:rsidRDefault="009A63C8" w:rsidP="00C238A1">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 Kết quả là bản giấy được chuyển đến Bộ phận Một cửa cấp xã (lĩnh vực Tư pháp - hộ tịch).</w:t>
      </w:r>
    </w:p>
    <w:p w:rsidR="009A63C8" w:rsidRPr="009A63C8" w:rsidRDefault="009A63C8" w:rsidP="00C238A1">
      <w:pPr>
        <w:shd w:val="clear" w:color="auto" w:fill="FFFFFF"/>
        <w:tabs>
          <w:tab w:val="left" w:pos="1620"/>
        </w:tabs>
        <w:spacing w:before="180" w:after="180" w:line="240" w:lineRule="auto"/>
        <w:jc w:val="both"/>
        <w:outlineLvl w:val="1"/>
        <w:rPr>
          <w:rFonts w:eastAsia="Times New Roman" w:cs="Times New Roman"/>
          <w:b/>
          <w:bCs/>
          <w:color w:val="2E2E2E"/>
          <w:sz w:val="33"/>
          <w:szCs w:val="33"/>
        </w:rPr>
      </w:pPr>
      <w:r w:rsidRPr="009A63C8">
        <w:rPr>
          <w:rFonts w:eastAsia="Times New Roman" w:cs="Times New Roman"/>
          <w:b/>
          <w:bCs/>
          <w:color w:val="2E2E2E"/>
          <w:sz w:val="33"/>
        </w:rPr>
        <w:t>3. Thay đổi điều kiện hưởng BHYT 5 năm liên tục</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Thêm một chính sách mới về bảo hiểm y tế có hiệu lực từ 01/7/2023 đó là việc thay đổi điều kiện hưởng BHYT 05 năm liên tục.</w:t>
      </w:r>
    </w:p>
    <w:p w:rsidR="009A63C8" w:rsidRPr="009A63C8" w:rsidRDefault="009A63C8" w:rsidP="009A63C8">
      <w:pPr>
        <w:shd w:val="clear" w:color="auto" w:fill="FFFFFF"/>
        <w:spacing w:after="0" w:line="240" w:lineRule="auto"/>
        <w:jc w:val="both"/>
        <w:rPr>
          <w:rFonts w:eastAsia="Times New Roman" w:cs="Times New Roman"/>
          <w:color w:val="2E2E2E"/>
          <w:szCs w:val="26"/>
        </w:rPr>
      </w:pPr>
      <w:r w:rsidRPr="009A63C8">
        <w:rPr>
          <w:rFonts w:eastAsia="Times New Roman" w:cs="Times New Roman"/>
          <w:color w:val="2E2E2E"/>
          <w:szCs w:val="26"/>
        </w:rPr>
        <w:t>Theo điểm d, điểm đ khoản 1 Điều 14 Nghị định 146/2018/NĐ-CP, người tham gia </w:t>
      </w:r>
      <w:hyperlink r:id="rId10" w:history="1">
        <w:r w:rsidRPr="00C238A1">
          <w:rPr>
            <w:rFonts w:eastAsia="Times New Roman" w:cs="Times New Roman"/>
            <w:color w:val="FF0000"/>
            <w:u w:val="single"/>
          </w:rPr>
          <w:t>BHYT 05 năm liên tục</w:t>
        </w:r>
      </w:hyperlink>
      <w:r w:rsidRPr="009A63C8">
        <w:rPr>
          <w:rFonts w:eastAsia="Times New Roman" w:cs="Times New Roman"/>
          <w:color w:val="2E2E2E"/>
          <w:szCs w:val="26"/>
        </w:rPr>
        <w:t> khi đi khám, chữa bệnh đúng tuyến sẽ có cơ hội được quỹ bảo hiểm y tế thanh toán 100% chi phí trong phạm vi được hưởng có số tiền đồng chi trả chi phí khám, chữa bệnh BHYT trong năm lớn hơn 06 tháng lương cơ sở.</w:t>
      </w:r>
    </w:p>
    <w:p w:rsidR="009A63C8" w:rsidRPr="009A63C8" w:rsidRDefault="009A63C8" w:rsidP="009A63C8">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Với việc tăng lương cơ sở từ ngày 01/7/2023, người bệnh muốn được hưởng quyền lợi BHYT 5 năm liên tục thì trong năm đó, người đó phải đã có số tiền đồng chi trả chi phí khám, chữa bệnh BHYT từ 10,8 triệu đồng trở lên (trước đó chỉ cần chi phí đạt 8,96 triệu đồng trở lên).</w:t>
      </w:r>
    </w:p>
    <w:p w:rsidR="00C238A1" w:rsidRDefault="009A63C8" w:rsidP="00C238A1">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color w:val="222222"/>
          <w:szCs w:val="26"/>
        </w:rPr>
        <w:t>Như vậy, từ tháng 7/2023, với phần chi phí đồng chi trả vượt quá 10,8 triệu đồng thì người bệnh mới được quỹ bảo hiểm y tế thanh toán.</w:t>
      </w:r>
    </w:p>
    <w:p w:rsidR="009A63C8" w:rsidRPr="009A63C8" w:rsidRDefault="009A63C8" w:rsidP="00C238A1">
      <w:pPr>
        <w:shd w:val="clear" w:color="auto" w:fill="FFFFFF"/>
        <w:spacing w:before="180" w:after="180" w:line="240" w:lineRule="auto"/>
        <w:jc w:val="both"/>
        <w:rPr>
          <w:rFonts w:eastAsia="Times New Roman" w:cs="Times New Roman"/>
          <w:color w:val="222222"/>
          <w:szCs w:val="26"/>
        </w:rPr>
      </w:pPr>
      <w:r w:rsidRPr="009A63C8">
        <w:rPr>
          <w:rFonts w:eastAsia="Times New Roman" w:cs="Times New Roman"/>
          <w:b/>
          <w:bCs/>
          <w:color w:val="2E2E2E"/>
          <w:sz w:val="33"/>
        </w:rPr>
        <w:t>4. Tăng mức thanh toán BHYT trực tiếp</w:t>
      </w:r>
    </w:p>
    <w:p w:rsidR="009A63C8" w:rsidRPr="009A63C8" w:rsidRDefault="009A63C8" w:rsidP="009A63C8">
      <w:pPr>
        <w:shd w:val="clear" w:color="auto" w:fill="FFFFFF"/>
        <w:spacing w:before="180" w:line="240" w:lineRule="auto"/>
        <w:jc w:val="both"/>
        <w:rPr>
          <w:rFonts w:eastAsia="Times New Roman" w:cs="Times New Roman"/>
          <w:color w:val="222222"/>
          <w:szCs w:val="26"/>
        </w:rPr>
      </w:pPr>
      <w:r w:rsidRPr="009A63C8">
        <w:rPr>
          <w:rFonts w:eastAsia="Times New Roman" w:cs="Times New Roman"/>
          <w:color w:val="222222"/>
          <w:szCs w:val="26"/>
        </w:rPr>
        <w:t>Theo </w:t>
      </w:r>
      <w:hyperlink r:id="rId11" w:history="1">
        <w:r w:rsidRPr="009A63C8">
          <w:rPr>
            <w:rFonts w:eastAsia="Times New Roman" w:cs="Times New Roman"/>
            <w:color w:val="FF0000"/>
            <w:u w:val="single"/>
          </w:rPr>
          <w:t>Điều 30 Nghị định 146/2018/NĐ-CP</w:t>
        </w:r>
      </w:hyperlink>
      <w:r w:rsidRPr="009A63C8">
        <w:rPr>
          <w:rFonts w:eastAsia="Times New Roman" w:cs="Times New Roman"/>
          <w:color w:val="222222"/>
          <w:szCs w:val="26"/>
        </w:rPr>
        <w:t>, trường hợp đi khám, chữa bện</w:t>
      </w:r>
      <w:r>
        <w:rPr>
          <w:rFonts w:eastAsia="Times New Roman" w:cs="Times New Roman"/>
          <w:color w:val="222222"/>
          <w:szCs w:val="26"/>
        </w:rPr>
        <w:t>h tại các cơ sở y tế tư nhân khô</w:t>
      </w:r>
      <w:r w:rsidRPr="009A63C8">
        <w:rPr>
          <w:rFonts w:eastAsia="Times New Roman" w:cs="Times New Roman"/>
          <w:color w:val="222222"/>
          <w:szCs w:val="26"/>
        </w:rPr>
        <w:t>ng có hợp đồng khám chữa bệnh BHYT, người bệnh sẽ được quỹ bảo hiểm y tế thanh toán trực tiếp chi phí như sau:</w:t>
      </w:r>
    </w:p>
    <w:tbl>
      <w:tblPr>
        <w:tblW w:w="9240" w:type="dxa"/>
        <w:tblCellMar>
          <w:left w:w="0" w:type="dxa"/>
          <w:right w:w="0" w:type="dxa"/>
        </w:tblCellMar>
        <w:tblLook w:val="04A0"/>
      </w:tblPr>
      <w:tblGrid>
        <w:gridCol w:w="675"/>
        <w:gridCol w:w="1980"/>
        <w:gridCol w:w="2445"/>
        <w:gridCol w:w="4140"/>
      </w:tblGrid>
      <w:tr w:rsidR="009A63C8" w:rsidRPr="009A63C8" w:rsidTr="009A63C8">
        <w:trPr>
          <w:trHeight w:val="105"/>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jc w:val="center"/>
              <w:rPr>
                <w:rFonts w:eastAsia="Times New Roman" w:cs="Times New Roman"/>
                <w:color w:val="222222"/>
                <w:sz w:val="24"/>
                <w:szCs w:val="24"/>
              </w:rPr>
            </w:pPr>
            <w:r w:rsidRPr="009A63C8">
              <w:rPr>
                <w:rFonts w:eastAsia="Times New Roman" w:cs="Times New Roman"/>
                <w:b/>
                <w:bCs/>
                <w:color w:val="222222"/>
                <w:sz w:val="24"/>
                <w:szCs w:val="24"/>
              </w:rPr>
              <w:t>STT</w:t>
            </w:r>
          </w:p>
        </w:tc>
        <w:tc>
          <w:tcPr>
            <w:tcW w:w="19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jc w:val="center"/>
              <w:rPr>
                <w:rFonts w:eastAsia="Times New Roman" w:cs="Times New Roman"/>
                <w:color w:val="222222"/>
                <w:sz w:val="24"/>
                <w:szCs w:val="24"/>
              </w:rPr>
            </w:pPr>
            <w:r w:rsidRPr="009A63C8">
              <w:rPr>
                <w:rFonts w:eastAsia="Times New Roman" w:cs="Times New Roman"/>
                <w:b/>
                <w:bCs/>
                <w:color w:val="222222"/>
                <w:sz w:val="24"/>
                <w:szCs w:val="24"/>
              </w:rPr>
              <w:t>Trường hợp</w:t>
            </w:r>
          </w:p>
        </w:tc>
        <w:tc>
          <w:tcPr>
            <w:tcW w:w="65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jc w:val="center"/>
              <w:rPr>
                <w:rFonts w:eastAsia="Times New Roman" w:cs="Times New Roman"/>
                <w:color w:val="222222"/>
                <w:sz w:val="24"/>
                <w:szCs w:val="24"/>
              </w:rPr>
            </w:pPr>
            <w:r w:rsidRPr="009A63C8">
              <w:rPr>
                <w:rFonts w:eastAsia="Times New Roman" w:cs="Times New Roman"/>
                <w:b/>
                <w:bCs/>
                <w:color w:val="222222"/>
                <w:sz w:val="24"/>
                <w:szCs w:val="24"/>
              </w:rPr>
              <w:t>Mức thanh toán BHYT trực tiếp</w:t>
            </w:r>
          </w:p>
        </w:tc>
      </w:tr>
      <w:tr w:rsidR="009A63C8" w:rsidRPr="009A63C8" w:rsidTr="009A63C8">
        <w:trPr>
          <w:trHeight w:val="2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A63C8" w:rsidRPr="009A63C8" w:rsidRDefault="009A63C8" w:rsidP="009A63C8">
            <w:pPr>
              <w:spacing w:after="0"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63C8" w:rsidRPr="009A63C8" w:rsidRDefault="009A63C8" w:rsidP="009A63C8">
            <w:pPr>
              <w:spacing w:after="0" w:line="240" w:lineRule="auto"/>
              <w:rPr>
                <w:rFonts w:eastAsia="Times New Roman" w:cs="Times New Roman"/>
                <w:color w:val="222222"/>
                <w:sz w:val="24"/>
                <w:szCs w:val="24"/>
              </w:rPr>
            </w:pP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25" w:lineRule="atLeast"/>
              <w:jc w:val="center"/>
              <w:rPr>
                <w:rFonts w:eastAsia="Times New Roman" w:cs="Times New Roman"/>
                <w:color w:val="222222"/>
                <w:sz w:val="24"/>
                <w:szCs w:val="24"/>
              </w:rPr>
            </w:pPr>
            <w:r w:rsidRPr="009A63C8">
              <w:rPr>
                <w:rFonts w:eastAsia="Times New Roman" w:cs="Times New Roman"/>
                <w:b/>
                <w:bCs/>
                <w:color w:val="222222"/>
                <w:sz w:val="24"/>
                <w:szCs w:val="24"/>
              </w:rPr>
              <w:t>Cách tính</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225" w:lineRule="atLeast"/>
              <w:jc w:val="center"/>
              <w:rPr>
                <w:rFonts w:eastAsia="Times New Roman" w:cs="Times New Roman"/>
                <w:color w:val="222222"/>
                <w:sz w:val="24"/>
                <w:szCs w:val="24"/>
              </w:rPr>
            </w:pPr>
            <w:r w:rsidRPr="009A63C8">
              <w:rPr>
                <w:rFonts w:eastAsia="Times New Roman" w:cs="Times New Roman"/>
                <w:b/>
                <w:bCs/>
                <w:color w:val="222222"/>
                <w:sz w:val="24"/>
                <w:szCs w:val="24"/>
              </w:rPr>
              <w:t>Số tiền được thanh toán trực tiếp từ ngày 01/7/2023</w:t>
            </w:r>
          </w:p>
        </w:tc>
      </w:tr>
      <w:tr w:rsidR="009A63C8" w:rsidRPr="009A63C8" w:rsidTr="009A63C8">
        <w:trPr>
          <w:trHeight w:val="10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1</w:t>
            </w:r>
          </w:p>
        </w:tc>
        <w:tc>
          <w:tcPr>
            <w:tcW w:w="85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Đi khám, chữa bệnh tại bệnh viện tuyến huyện</w:t>
            </w:r>
          </w:p>
        </w:tc>
      </w:tr>
      <w:tr w:rsidR="009A63C8" w:rsidRPr="009A63C8" w:rsidTr="009A63C8">
        <w:trPr>
          <w:trHeight w:val="10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1.1.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Ngoại trú</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Thanh toán theo chi phí thực tế trong phạm vi được hưởng nhưng tối đa không quá 0,15 lần mức lương cơ sở</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Tối đa 270.000 đồng (trước đó thanh toán tối đa 223.500 đồng)</w:t>
            </w:r>
          </w:p>
        </w:tc>
      </w:tr>
      <w:tr w:rsidR="009A63C8" w:rsidRPr="009A63C8" w:rsidTr="009A63C8">
        <w:trPr>
          <w:trHeight w:val="10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1.2.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Nội trú</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Thanh toán theo chi phí thực tế trong phạm vi được hưởng nhưng tối đa không quá 0,5 lần mức lương cơ sở</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Tối đa 900.000 đồng (trước đó thanh toán tối đa 745.000 đồng)</w:t>
            </w:r>
          </w:p>
        </w:tc>
      </w:tr>
      <w:tr w:rsidR="009A63C8" w:rsidRPr="009A63C8" w:rsidTr="009A63C8">
        <w:trPr>
          <w:trHeight w:val="10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Khám, chữa bệnh nội trú tại bệnh viện tuyến tỉnh mà không có hợp đồng khám, chữa bệnh BHYT</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Thanh toán theo chi phí thực tế trong phạm vi được hưởng nhưng tối đa không quá 1,0 lần mức lương cơ sở</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Tối đa 1,8 triệu đồng (trước đó thanh toán tối đa 1,49 triệu đồng)</w:t>
            </w:r>
          </w:p>
        </w:tc>
      </w:tr>
      <w:tr w:rsidR="009A63C8" w:rsidRPr="009A63C8" w:rsidTr="009A63C8">
        <w:trPr>
          <w:trHeight w:val="10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Khám, chữa bệnh nội trú tại bệnh viện trung ương mà không có hợp đồng khám, chữa bệnh BHYT</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Thanh toán theo chi phí thực tế trong phạm vi được hưởng nhưng tối đa không quá 2,5 lần mức lương cơ sở</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63C8" w:rsidRPr="009A63C8" w:rsidRDefault="009A63C8" w:rsidP="009A63C8">
            <w:pPr>
              <w:spacing w:before="180" w:after="180" w:line="105" w:lineRule="atLeast"/>
              <w:rPr>
                <w:rFonts w:eastAsia="Times New Roman" w:cs="Times New Roman"/>
                <w:color w:val="222222"/>
                <w:sz w:val="24"/>
                <w:szCs w:val="24"/>
              </w:rPr>
            </w:pPr>
            <w:r w:rsidRPr="009A63C8">
              <w:rPr>
                <w:rFonts w:eastAsia="Times New Roman" w:cs="Times New Roman"/>
                <w:color w:val="222222"/>
                <w:sz w:val="24"/>
                <w:szCs w:val="24"/>
              </w:rPr>
              <w:t>Tối đa 4,5 triệu đồng (trước đó thanh toán tối đa 3,725 triệu đồng)</w:t>
            </w:r>
          </w:p>
        </w:tc>
      </w:tr>
    </w:tbl>
    <w:p w:rsidR="009A63C8" w:rsidRPr="009A63C8" w:rsidRDefault="009A63C8" w:rsidP="00C238A1">
      <w:pPr>
        <w:shd w:val="clear" w:color="auto" w:fill="FFFFFF"/>
        <w:spacing w:before="180" w:line="240" w:lineRule="auto"/>
        <w:jc w:val="both"/>
        <w:rPr>
          <w:rFonts w:eastAsia="Times New Roman" w:cs="Times New Roman"/>
          <w:color w:val="222222"/>
          <w:szCs w:val="26"/>
        </w:rPr>
      </w:pPr>
      <w:r w:rsidRPr="009A63C8">
        <w:rPr>
          <w:rFonts w:eastAsia="Times New Roman" w:cs="Times New Roman"/>
          <w:color w:val="222222"/>
          <w:szCs w:val="26"/>
        </w:rPr>
        <w:t>Trên đây là nội dung các </w:t>
      </w:r>
      <w:r w:rsidRPr="009A63C8">
        <w:rPr>
          <w:rFonts w:eastAsia="Times New Roman" w:cs="Times New Roman"/>
          <w:b/>
          <w:bCs/>
          <w:color w:val="222222"/>
        </w:rPr>
        <w:t>chính sách mới về bảo hiểm y tế có hiệu lực từ 01/7/2023</w:t>
      </w:r>
      <w:r w:rsidRPr="009A63C8">
        <w:rPr>
          <w:rFonts w:eastAsia="Times New Roman" w:cs="Times New Roman"/>
          <w:color w:val="222222"/>
          <w:szCs w:val="26"/>
        </w:rPr>
        <w:t xml:space="preserve"> đáng chú ý. </w:t>
      </w:r>
    </w:p>
    <w:p w:rsidR="0045257D" w:rsidRPr="009A63C8" w:rsidRDefault="0045257D" w:rsidP="009A63C8"/>
    <w:sectPr w:rsidR="0045257D" w:rsidRPr="009A63C8" w:rsidSect="00C238A1">
      <w:pgSz w:w="11907" w:h="16840" w:code="9"/>
      <w:pgMar w:top="1134" w:right="1134"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A4109"/>
    <w:multiLevelType w:val="multilevel"/>
    <w:tmpl w:val="55A4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30"/>
  <w:displayHorizontalDrawingGridEvery w:val="2"/>
  <w:displayVerticalDrawingGridEvery w:val="2"/>
  <w:characterSpacingControl w:val="doNotCompress"/>
  <w:savePreviewPicture/>
  <w:compat/>
  <w:rsids>
    <w:rsidRoot w:val="009A63C8"/>
    <w:rsid w:val="001A5344"/>
    <w:rsid w:val="0045257D"/>
    <w:rsid w:val="004B73B4"/>
    <w:rsid w:val="006960F5"/>
    <w:rsid w:val="009A63C8"/>
    <w:rsid w:val="00C238A1"/>
    <w:rsid w:val="00E86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7D"/>
  </w:style>
  <w:style w:type="paragraph" w:styleId="Heading1">
    <w:name w:val="heading 1"/>
    <w:basedOn w:val="Normal"/>
    <w:link w:val="Heading1Char"/>
    <w:uiPriority w:val="9"/>
    <w:qFormat/>
    <w:rsid w:val="009A63C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A63C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A63C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C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A63C8"/>
    <w:rPr>
      <w:rFonts w:eastAsia="Times New Roman" w:cs="Times New Roman"/>
      <w:b/>
      <w:bCs/>
      <w:sz w:val="36"/>
      <w:szCs w:val="36"/>
    </w:rPr>
  </w:style>
  <w:style w:type="character" w:customStyle="1" w:styleId="Heading3Char">
    <w:name w:val="Heading 3 Char"/>
    <w:basedOn w:val="DefaultParagraphFont"/>
    <w:link w:val="Heading3"/>
    <w:uiPriority w:val="9"/>
    <w:rsid w:val="009A63C8"/>
    <w:rPr>
      <w:rFonts w:eastAsia="Times New Roman" w:cs="Times New Roman"/>
      <w:b/>
      <w:bCs/>
      <w:sz w:val="27"/>
      <w:szCs w:val="27"/>
    </w:rPr>
  </w:style>
  <w:style w:type="character" w:styleId="Hyperlink">
    <w:name w:val="Hyperlink"/>
    <w:basedOn w:val="DefaultParagraphFont"/>
    <w:uiPriority w:val="99"/>
    <w:semiHidden/>
    <w:unhideWhenUsed/>
    <w:rsid w:val="009A63C8"/>
    <w:rPr>
      <w:color w:val="0000FF"/>
      <w:u w:val="single"/>
    </w:rPr>
  </w:style>
  <w:style w:type="character" w:styleId="Strong">
    <w:name w:val="Strong"/>
    <w:basedOn w:val="DefaultParagraphFont"/>
    <w:uiPriority w:val="22"/>
    <w:qFormat/>
    <w:rsid w:val="009A63C8"/>
    <w:rPr>
      <w:b/>
      <w:bCs/>
    </w:rPr>
  </w:style>
  <w:style w:type="paragraph" w:styleId="NormalWeb">
    <w:name w:val="Normal (Web)"/>
    <w:basedOn w:val="Normal"/>
    <w:uiPriority w:val="99"/>
    <w:unhideWhenUsed/>
    <w:rsid w:val="009A63C8"/>
    <w:pPr>
      <w:spacing w:before="100" w:beforeAutospacing="1" w:after="100" w:afterAutospacing="1" w:line="240" w:lineRule="auto"/>
    </w:pPr>
    <w:rPr>
      <w:rFonts w:eastAsia="Times New Roman" w:cs="Times New Roman"/>
      <w:sz w:val="24"/>
      <w:szCs w:val="24"/>
    </w:rPr>
  </w:style>
  <w:style w:type="character" w:customStyle="1" w:styleId="toc-title">
    <w:name w:val="toc-title"/>
    <w:basedOn w:val="DefaultParagraphFont"/>
    <w:rsid w:val="009A63C8"/>
  </w:style>
  <w:style w:type="character" w:customStyle="1" w:styleId="toc-show">
    <w:name w:val="toc-show"/>
    <w:basedOn w:val="DefaultParagraphFont"/>
    <w:rsid w:val="009A63C8"/>
  </w:style>
  <w:style w:type="character" w:customStyle="1" w:styleId="toctext">
    <w:name w:val="toctext"/>
    <w:basedOn w:val="DefaultParagraphFont"/>
    <w:rsid w:val="009A63C8"/>
  </w:style>
  <w:style w:type="character" w:styleId="Emphasis">
    <w:name w:val="Emphasis"/>
    <w:basedOn w:val="DefaultParagraphFont"/>
    <w:uiPriority w:val="20"/>
    <w:qFormat/>
    <w:rsid w:val="009A63C8"/>
    <w:rPr>
      <w:i/>
      <w:iCs/>
    </w:rPr>
  </w:style>
</w:styles>
</file>

<file path=word/webSettings.xml><?xml version="1.0" encoding="utf-8"?>
<w:webSettings xmlns:r="http://schemas.openxmlformats.org/officeDocument/2006/relationships" xmlns:w="http://schemas.openxmlformats.org/wordprocessingml/2006/main">
  <w:divs>
    <w:div w:id="1222667648">
      <w:bodyDiv w:val="1"/>
      <w:marLeft w:val="0"/>
      <w:marRight w:val="0"/>
      <w:marTop w:val="0"/>
      <w:marBottom w:val="0"/>
      <w:divBdr>
        <w:top w:val="none" w:sz="0" w:space="0" w:color="auto"/>
        <w:left w:val="none" w:sz="0" w:space="0" w:color="auto"/>
        <w:bottom w:val="none" w:sz="0" w:space="0" w:color="auto"/>
        <w:right w:val="none" w:sz="0" w:space="0" w:color="auto"/>
      </w:divBdr>
      <w:divsChild>
        <w:div w:id="1588690110">
          <w:marLeft w:val="0"/>
          <w:marRight w:val="0"/>
          <w:marTop w:val="0"/>
          <w:marBottom w:val="0"/>
          <w:divBdr>
            <w:top w:val="none" w:sz="0" w:space="0" w:color="auto"/>
            <w:left w:val="none" w:sz="0" w:space="0" w:color="auto"/>
            <w:bottom w:val="none" w:sz="0" w:space="0" w:color="auto"/>
            <w:right w:val="none" w:sz="0" w:space="0" w:color="auto"/>
          </w:divBdr>
          <w:divsChild>
            <w:div w:id="1750073922">
              <w:marLeft w:val="0"/>
              <w:marRight w:val="240"/>
              <w:marTop w:val="0"/>
              <w:marBottom w:val="0"/>
              <w:divBdr>
                <w:top w:val="none" w:sz="0" w:space="0" w:color="auto"/>
                <w:left w:val="none" w:sz="0" w:space="0" w:color="auto"/>
                <w:bottom w:val="none" w:sz="0" w:space="0" w:color="auto"/>
                <w:right w:val="none" w:sz="0" w:space="0" w:color="auto"/>
              </w:divBdr>
              <w:divsChild>
                <w:div w:id="2095780554">
                  <w:marLeft w:val="0"/>
                  <w:marRight w:val="0"/>
                  <w:marTop w:val="0"/>
                  <w:marBottom w:val="0"/>
                  <w:divBdr>
                    <w:top w:val="none" w:sz="0" w:space="0" w:color="auto"/>
                    <w:left w:val="none" w:sz="0" w:space="0" w:color="auto"/>
                    <w:bottom w:val="none" w:sz="0" w:space="0" w:color="auto"/>
                    <w:right w:val="none" w:sz="0" w:space="0" w:color="auto"/>
                  </w:divBdr>
                  <w:divsChild>
                    <w:div w:id="21393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37322">
              <w:marLeft w:val="0"/>
              <w:marRight w:val="0"/>
              <w:marTop w:val="0"/>
              <w:marBottom w:val="0"/>
              <w:divBdr>
                <w:top w:val="none" w:sz="0" w:space="0" w:color="auto"/>
                <w:left w:val="none" w:sz="0" w:space="0" w:color="auto"/>
                <w:bottom w:val="none" w:sz="0" w:space="0" w:color="auto"/>
                <w:right w:val="none" w:sz="0" w:space="0" w:color="auto"/>
              </w:divBdr>
              <w:divsChild>
                <w:div w:id="499657160">
                  <w:marLeft w:val="0"/>
                  <w:marRight w:val="0"/>
                  <w:marTop w:val="0"/>
                  <w:marBottom w:val="0"/>
                  <w:divBdr>
                    <w:top w:val="none" w:sz="0" w:space="0" w:color="auto"/>
                    <w:left w:val="none" w:sz="0" w:space="0" w:color="auto"/>
                    <w:bottom w:val="none" w:sz="0" w:space="0" w:color="auto"/>
                    <w:right w:val="none" w:sz="0" w:space="0" w:color="auto"/>
                  </w:divBdr>
                  <w:divsChild>
                    <w:div w:id="5012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7506">
          <w:marLeft w:val="0"/>
          <w:marRight w:val="0"/>
          <w:marTop w:val="0"/>
          <w:marBottom w:val="240"/>
          <w:divBdr>
            <w:top w:val="none" w:sz="0" w:space="0" w:color="auto"/>
            <w:left w:val="none" w:sz="0" w:space="0" w:color="auto"/>
            <w:bottom w:val="none" w:sz="0" w:space="0" w:color="auto"/>
            <w:right w:val="none" w:sz="0" w:space="0" w:color="auto"/>
          </w:divBdr>
          <w:divsChild>
            <w:div w:id="644898487">
              <w:marLeft w:val="0"/>
              <w:marRight w:val="0"/>
              <w:marTop w:val="0"/>
              <w:marBottom w:val="0"/>
              <w:divBdr>
                <w:top w:val="none" w:sz="0" w:space="0" w:color="auto"/>
                <w:left w:val="none" w:sz="0" w:space="0" w:color="auto"/>
                <w:bottom w:val="none" w:sz="0" w:space="0" w:color="auto"/>
                <w:right w:val="none" w:sz="0" w:space="0" w:color="auto"/>
              </w:divBdr>
            </w:div>
            <w:div w:id="1232931692">
              <w:marLeft w:val="0"/>
              <w:marRight w:val="0"/>
              <w:marTop w:val="240"/>
              <w:marBottom w:val="240"/>
              <w:divBdr>
                <w:top w:val="single" w:sz="6" w:space="9" w:color="E0E0E0"/>
                <w:left w:val="single" w:sz="6" w:space="12" w:color="E0E0E0"/>
                <w:bottom w:val="single" w:sz="6" w:space="9" w:color="E0E0E0"/>
                <w:right w:val="single" w:sz="6" w:space="12" w:color="E0E0E0"/>
              </w:divBdr>
              <w:divsChild>
                <w:div w:id="956569230">
                  <w:marLeft w:val="0"/>
                  <w:marRight w:val="0"/>
                  <w:marTop w:val="0"/>
                  <w:marBottom w:val="0"/>
                  <w:divBdr>
                    <w:top w:val="none" w:sz="0" w:space="0" w:color="auto"/>
                    <w:left w:val="none" w:sz="0" w:space="0" w:color="auto"/>
                    <w:bottom w:val="none" w:sz="0" w:space="0" w:color="auto"/>
                    <w:right w:val="none" w:sz="0" w:space="0" w:color="auto"/>
                  </w:divBdr>
                </w:div>
              </w:divsChild>
            </w:div>
            <w:div w:id="415709804">
              <w:marLeft w:val="0"/>
              <w:marRight w:val="0"/>
              <w:marTop w:val="0"/>
              <w:marBottom w:val="0"/>
              <w:divBdr>
                <w:top w:val="none" w:sz="0" w:space="0" w:color="auto"/>
                <w:left w:val="none" w:sz="0" w:space="0" w:color="auto"/>
                <w:bottom w:val="none" w:sz="0" w:space="0" w:color="auto"/>
                <w:right w:val="none" w:sz="0" w:space="0" w:color="auto"/>
              </w:divBdr>
              <w:divsChild>
                <w:div w:id="1118992124">
                  <w:marLeft w:val="0"/>
                  <w:marRight w:val="0"/>
                  <w:marTop w:val="0"/>
                  <w:marBottom w:val="0"/>
                  <w:divBdr>
                    <w:top w:val="none" w:sz="0" w:space="0" w:color="auto"/>
                    <w:left w:val="none" w:sz="0" w:space="0" w:color="auto"/>
                    <w:bottom w:val="none" w:sz="0" w:space="0" w:color="auto"/>
                    <w:right w:val="none" w:sz="0" w:space="0" w:color="auto"/>
                  </w:divBdr>
                </w:div>
                <w:div w:id="1560625374">
                  <w:marLeft w:val="0"/>
                  <w:marRight w:val="0"/>
                  <w:marTop w:val="0"/>
                  <w:marBottom w:val="0"/>
                  <w:divBdr>
                    <w:top w:val="none" w:sz="0" w:space="0" w:color="auto"/>
                    <w:left w:val="none" w:sz="0" w:space="0" w:color="auto"/>
                    <w:bottom w:val="none" w:sz="0" w:space="0" w:color="auto"/>
                    <w:right w:val="none" w:sz="0" w:space="0" w:color="auto"/>
                  </w:divBdr>
                </w:div>
                <w:div w:id="642855892">
                  <w:marLeft w:val="0"/>
                  <w:marRight w:val="0"/>
                  <w:marTop w:val="0"/>
                  <w:marBottom w:val="0"/>
                  <w:divBdr>
                    <w:top w:val="none" w:sz="0" w:space="0" w:color="auto"/>
                    <w:left w:val="none" w:sz="0" w:space="0" w:color="auto"/>
                    <w:bottom w:val="none" w:sz="0" w:space="0" w:color="auto"/>
                    <w:right w:val="none" w:sz="0" w:space="0" w:color="auto"/>
                  </w:divBdr>
                </w:div>
                <w:div w:id="1813668173">
                  <w:marLeft w:val="0"/>
                  <w:marRight w:val="0"/>
                  <w:marTop w:val="0"/>
                  <w:marBottom w:val="0"/>
                  <w:divBdr>
                    <w:top w:val="none" w:sz="0" w:space="0" w:color="auto"/>
                    <w:left w:val="none" w:sz="0" w:space="0" w:color="auto"/>
                    <w:bottom w:val="none" w:sz="0" w:space="0" w:color="auto"/>
                    <w:right w:val="none" w:sz="0" w:space="0" w:color="auto"/>
                  </w:divBdr>
                </w:div>
                <w:div w:id="1659961938">
                  <w:marLeft w:val="0"/>
                  <w:marRight w:val="0"/>
                  <w:marTop w:val="0"/>
                  <w:marBottom w:val="0"/>
                  <w:divBdr>
                    <w:top w:val="none" w:sz="0" w:space="0" w:color="auto"/>
                    <w:left w:val="none" w:sz="0" w:space="0" w:color="auto"/>
                    <w:bottom w:val="none" w:sz="0" w:space="0" w:color="auto"/>
                    <w:right w:val="none" w:sz="0" w:space="0" w:color="auto"/>
                  </w:divBdr>
                </w:div>
                <w:div w:id="103690537">
                  <w:marLeft w:val="0"/>
                  <w:marRight w:val="0"/>
                  <w:marTop w:val="0"/>
                  <w:marBottom w:val="0"/>
                  <w:divBdr>
                    <w:top w:val="none" w:sz="0" w:space="0" w:color="auto"/>
                    <w:left w:val="none" w:sz="0" w:space="0" w:color="auto"/>
                    <w:bottom w:val="none" w:sz="0" w:space="0" w:color="auto"/>
                    <w:right w:val="none" w:sz="0" w:space="0" w:color="auto"/>
                  </w:divBdr>
                </w:div>
                <w:div w:id="164705769">
                  <w:marLeft w:val="0"/>
                  <w:marRight w:val="0"/>
                  <w:marTop w:val="0"/>
                  <w:marBottom w:val="0"/>
                  <w:divBdr>
                    <w:top w:val="none" w:sz="0" w:space="0" w:color="auto"/>
                    <w:left w:val="none" w:sz="0" w:space="0" w:color="auto"/>
                    <w:bottom w:val="none" w:sz="0" w:space="0" w:color="auto"/>
                    <w:right w:val="none" w:sz="0" w:space="0" w:color="auto"/>
                  </w:divBdr>
                </w:div>
                <w:div w:id="1330057715">
                  <w:marLeft w:val="0"/>
                  <w:marRight w:val="0"/>
                  <w:marTop w:val="0"/>
                  <w:marBottom w:val="0"/>
                  <w:divBdr>
                    <w:top w:val="none" w:sz="0" w:space="0" w:color="auto"/>
                    <w:left w:val="none" w:sz="0" w:space="0" w:color="auto"/>
                    <w:bottom w:val="none" w:sz="0" w:space="0" w:color="auto"/>
                    <w:right w:val="none" w:sz="0" w:space="0" w:color="auto"/>
                  </w:divBdr>
                </w:div>
                <w:div w:id="663776815">
                  <w:marLeft w:val="0"/>
                  <w:marRight w:val="0"/>
                  <w:marTop w:val="0"/>
                  <w:marBottom w:val="0"/>
                  <w:divBdr>
                    <w:top w:val="none" w:sz="0" w:space="0" w:color="auto"/>
                    <w:left w:val="none" w:sz="0" w:space="0" w:color="auto"/>
                    <w:bottom w:val="none" w:sz="0" w:space="0" w:color="auto"/>
                    <w:right w:val="none" w:sz="0" w:space="0" w:color="auto"/>
                  </w:divBdr>
                </w:div>
                <w:div w:id="5131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hanh-chinh/quyet-dinh-976-qd-bhxh-2023-tthc-lien-thong-dang-ky-khai-sinh-thuong-tru-cap-bhyt-255554-d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vietnam.vn/bao-hiem/quyet-dinh-505-qd-bhxh-sua-doi-quy-trinh-thu-bao-hiem-theo-quyet-dinh-595-qd-bhxh-183765-d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bao-hiem/quyet-dinh-595-qd-bhxh-bao-hiem-xa-hoi-viet-nam-114106-d1.html" TargetMode="External"/><Relationship Id="rId11" Type="http://schemas.openxmlformats.org/officeDocument/2006/relationships/hyperlink" Target="https://luatvietnam.vn/bao-hiem/nghi-dinh-146-2018-nd-cp-huong-dan-luat-bao-hiem-y-te-168062-d1.html" TargetMode="External"/><Relationship Id="rId5" Type="http://schemas.openxmlformats.org/officeDocument/2006/relationships/hyperlink" Target="https://luatvietnam.vn/bao-hiem/nghi-dinh-146-2018-nd-cp-huong-dan-luat-bao-hiem-y-te-168062-d1.html" TargetMode="External"/><Relationship Id="rId10" Type="http://schemas.openxmlformats.org/officeDocument/2006/relationships/hyperlink" Target="https://luatvietnam.vn/bao-hiem/bhyt-5-nam-lien-tuc-563-33872-article.html" TargetMode="External"/><Relationship Id="rId4" Type="http://schemas.openxmlformats.org/officeDocument/2006/relationships/webSettings" Target="webSettings.xml"/><Relationship Id="rId9" Type="http://schemas.openxmlformats.org/officeDocument/2006/relationships/hyperlink" Target="https://dichvucong.gov.vn/p/home/dvc-trang-c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Chính sách mới về bảo hiểm y tế có hiệu lực từ tháng 7/2023</vt:lpstr>
      <vt:lpstr>    1. Tăng mức đóng bảo hiểm y tế của nhiều người</vt:lpstr>
      <vt:lpstr>        1.1. Đối với người đi làm</vt:lpstr>
      <vt:lpstr>        1.2. Người tham gia BHYT hộ gia đình</vt:lpstr>
      <vt:lpstr>        1.3. Đối với học sinh, sinh viên</vt:lpstr>
      <vt:lpstr>        1.4. Đối với hộ nghèo, cận nghèo</vt:lpstr>
      <vt:lpstr>    2. Hướng dẫn thủ tục online đăng ký khai sinh, nhập khẩu, cấp thẻ BHYT cho trẻ</vt:lpstr>
      <vt:lpstr>    3. Thay đổi điều kiện hưởng BHYT 5 năm liên tục</vt:lpstr>
      <vt:lpstr>    4. Tăng mức thanh toán BHYT trực tiếp</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2023-07-20T07:14:00Z</cp:lastPrinted>
  <dcterms:created xsi:type="dcterms:W3CDTF">2023-07-20T07:26:00Z</dcterms:created>
  <dcterms:modified xsi:type="dcterms:W3CDTF">2023-07-20T07:26:00Z</dcterms:modified>
</cp:coreProperties>
</file>